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rPr>
          <w:b/>
          <w:rFonts w:ascii="Times New Roman" w:hAnsi="Times New Roman"/>
          <w:sz w:val="24"/>
          <w:szCs w:val="24"/>
        </w:rPr>
      </w:pPr>
      <w:r>
        <w:rPr>
          <w:b/>
          <w:rFonts w:ascii="Times New Roman" w:hAnsi="Times New Roman"/>
          <w:sz w:val="24"/>
          <w:szCs w:val="24"/>
        </w:rPr>
        <w:t>PRINCIPI MENADŽMENTA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terijal za pripremu kolokvijuma.</w:t>
      </w:r>
    </w:p>
    <w:p>
      <w:pPr>
        <w:pStyle w:val="Normal"/>
        <w:jc w:val="both"/>
      </w:pPr>
      <w:r>
        <w:rPr>
          <w:color w:val="050505"/>
          <w:rFonts w:ascii="Times New Roman" w:hAnsi="Times New Roman"/>
          <w:sz w:val="24"/>
          <w:szCs w:val="24"/>
          <w:shd w:fill="FFFFFF"/>
        </w:rPr>
        <w:t>Ispitna pitanja za kolokvijum su: 4, 5, 11, 12, 13, 14, 15, 16, 43 i 44 i sva pitanja iz Stonerovog dela (ispitna pitanja broj 17, 18, 26, 27, 28, 29, 32, 33, 46, 47).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Napomena: Studenti koji polože kolokvijum su oslobođeni navedenih pitanja na završnom delu ispita.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