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D45256" w:rsidRDefault="0047783A" w:rsidP="00D45256">
      <w:pPr>
        <w:pStyle w:val="Heading1"/>
        <w:rPr>
          <w:lang w:val="en-IE"/>
        </w:rPr>
      </w:pPr>
      <w:bookmarkStart w:id="0" w:name="_Toc42488069"/>
      <w:r w:rsidRPr="00D45256">
        <w:rPr>
          <w:lang w:val="en-IE"/>
        </w:rPr>
        <w:t>A.</w:t>
      </w:r>
      <w:r w:rsidRPr="00D45256">
        <w:rPr>
          <w:lang w:val="en-IE"/>
        </w:rPr>
        <w:tab/>
        <w:t>INSTRUCTIONS TO TENDERERS</w:t>
      </w:r>
      <w:bookmarkEnd w:id="0"/>
    </w:p>
    <w:p w14:paraId="4730BCA1" w14:textId="7B9290FB" w:rsidR="0047783A" w:rsidRPr="00E82463" w:rsidRDefault="0047783A" w:rsidP="00D45256">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B05868" w:rsidRPr="00B05868">
        <w:rPr>
          <w:rFonts w:ascii="Times New Roman" w:hAnsi="Times New Roman"/>
          <w:szCs w:val="28"/>
          <w:lang w:val="en-GB"/>
        </w:rPr>
        <w:t>HR-RS00158/CREATEGREEN/City of Sombor/02</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2EAEE203" w14:textId="77777777" w:rsidR="00C7322E" w:rsidRDefault="0047783A" w:rsidP="00D45256">
      <w:pPr>
        <w:pStyle w:val="Heading2"/>
        <w:keepNext w:val="0"/>
        <w:spacing w:before="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06216715" w14:textId="781CC73B" w:rsidR="00C7322E" w:rsidRPr="001E4B15" w:rsidRDefault="00C7322E" w:rsidP="00D45256">
      <w:pPr>
        <w:spacing w:before="0"/>
        <w:ind w:left="709" w:hanging="142"/>
        <w:jc w:val="both"/>
        <w:rPr>
          <w:rFonts w:ascii="Times New Roman" w:hAnsi="Times New Roman"/>
          <w:sz w:val="22"/>
        </w:rPr>
      </w:pPr>
      <w:r w:rsidRPr="001E4B15">
        <w:rPr>
          <w:rFonts w:ascii="Times New Roman" w:hAnsi="Times New Roman"/>
          <w:sz w:val="22"/>
        </w:rPr>
        <w:t xml:space="preserve">the supply, delivery, unloading, siting and installation, commissioning, </w:t>
      </w:r>
    </w:p>
    <w:p w14:paraId="4A7C49E0" w14:textId="28CB2BC9" w:rsidR="00C7322E" w:rsidRPr="001E4B15" w:rsidRDefault="00C7322E" w:rsidP="00D45256">
      <w:pPr>
        <w:spacing w:before="0"/>
        <w:ind w:left="567"/>
        <w:jc w:val="both"/>
        <w:rPr>
          <w:rFonts w:ascii="Times New Roman" w:hAnsi="Times New Roman"/>
          <w:sz w:val="22"/>
        </w:rPr>
      </w:pPr>
      <w:r w:rsidRPr="001E4B15">
        <w:rPr>
          <w:rFonts w:ascii="Times New Roman" w:hAnsi="Times New Roman"/>
          <w:sz w:val="22"/>
        </w:rPr>
        <w:t xml:space="preserve"> maintenance,</w:t>
      </w:r>
    </w:p>
    <w:p w14:paraId="1D2AE786" w14:textId="77777777" w:rsidR="00C7322E" w:rsidRPr="0042695A" w:rsidRDefault="00C7322E" w:rsidP="00D45256">
      <w:pPr>
        <w:spacing w:before="0"/>
        <w:ind w:left="709" w:hanging="142"/>
        <w:jc w:val="both"/>
        <w:rPr>
          <w:highlight w:val="yellow"/>
        </w:rPr>
      </w:pPr>
      <w:r w:rsidRPr="004F1F8C">
        <w:rPr>
          <w:rFonts w:ascii="Times New Roman" w:hAnsi="Times New Roman"/>
          <w:sz w:val="22"/>
        </w:rPr>
        <w:t xml:space="preserve"> of the following supplies:</w:t>
      </w:r>
    </w:p>
    <w:p w14:paraId="27097A6A" w14:textId="4C2A9D8F" w:rsidR="00B05868" w:rsidRPr="001E4B15" w:rsidRDefault="00B05868" w:rsidP="00B05868">
      <w:pPr>
        <w:pStyle w:val="Heading2"/>
        <w:keepNext w:val="0"/>
        <w:spacing w:before="0"/>
        <w:jc w:val="both"/>
        <w:rPr>
          <w:rFonts w:ascii="Times New Roman" w:hAnsi="Times New Roman"/>
          <w:sz w:val="22"/>
        </w:rPr>
      </w:pPr>
    </w:p>
    <w:tbl>
      <w:tblPr>
        <w:tblW w:w="6690" w:type="dxa"/>
        <w:tblInd w:w="648" w:type="dxa"/>
        <w:tblLook w:val="04A0" w:firstRow="1" w:lastRow="0" w:firstColumn="1" w:lastColumn="0" w:noHBand="0" w:noVBand="1"/>
      </w:tblPr>
      <w:tblGrid>
        <w:gridCol w:w="948"/>
        <w:gridCol w:w="3099"/>
        <w:gridCol w:w="1089"/>
        <w:gridCol w:w="1554"/>
      </w:tblGrid>
      <w:tr w:rsidR="00B05868" w:rsidRPr="001E4B15" w14:paraId="34045CFA" w14:textId="77777777" w:rsidTr="00B05868">
        <w:tc>
          <w:tcPr>
            <w:tcW w:w="948" w:type="dxa"/>
            <w:vAlign w:val="center"/>
            <w:hideMark/>
          </w:tcPr>
          <w:p w14:paraId="31A9F0D4" w14:textId="77777777" w:rsidR="00B05868" w:rsidRPr="001E4B15" w:rsidRDefault="00B05868" w:rsidP="00FD1A40">
            <w:pPr>
              <w:spacing w:before="0"/>
              <w:ind w:left="567"/>
              <w:jc w:val="both"/>
              <w:rPr>
                <w:rFonts w:ascii="Times New Roman" w:hAnsi="Times New Roman"/>
                <w:b/>
                <w:sz w:val="22"/>
              </w:rPr>
            </w:pPr>
            <w:r w:rsidRPr="001E4B15">
              <w:rPr>
                <w:rFonts w:ascii="Times New Roman" w:hAnsi="Times New Roman"/>
                <w:b/>
                <w:sz w:val="22"/>
              </w:rPr>
              <w:t>1.</w:t>
            </w:r>
          </w:p>
        </w:tc>
        <w:tc>
          <w:tcPr>
            <w:tcW w:w="3099" w:type="dxa"/>
            <w:hideMark/>
          </w:tcPr>
          <w:p w14:paraId="5F88B0F5" w14:textId="452027EC" w:rsidR="00B05868" w:rsidRPr="001E4B15" w:rsidRDefault="00B05868" w:rsidP="00FD1A40">
            <w:pPr>
              <w:spacing w:before="0"/>
              <w:ind w:left="567"/>
              <w:jc w:val="both"/>
              <w:rPr>
                <w:rFonts w:ascii="Times New Roman" w:hAnsi="Times New Roman"/>
                <w:sz w:val="22"/>
              </w:rPr>
            </w:pPr>
            <w:r w:rsidRPr="001E4B15">
              <w:rPr>
                <w:rFonts w:ascii="Times New Roman" w:hAnsi="Times New Roman"/>
                <w:b/>
                <w:sz w:val="22"/>
              </w:rPr>
              <w:t>Solar Power Plants</w:t>
            </w:r>
          </w:p>
        </w:tc>
        <w:tc>
          <w:tcPr>
            <w:tcW w:w="1089" w:type="dxa"/>
            <w:vAlign w:val="center"/>
            <w:hideMark/>
          </w:tcPr>
          <w:p w14:paraId="19F98CD6" w14:textId="77777777" w:rsidR="00B05868" w:rsidRPr="001E4B15" w:rsidRDefault="00B05868" w:rsidP="00FD1A40">
            <w:pPr>
              <w:spacing w:before="0"/>
              <w:ind w:left="567"/>
              <w:jc w:val="both"/>
              <w:rPr>
                <w:rFonts w:ascii="Times New Roman" w:hAnsi="Times New Roman"/>
                <w:b/>
                <w:sz w:val="22"/>
              </w:rPr>
            </w:pPr>
            <w:r w:rsidRPr="001E4B15">
              <w:rPr>
                <w:rFonts w:ascii="Times New Roman" w:hAnsi="Times New Roman"/>
                <w:b/>
                <w:sz w:val="22"/>
              </w:rPr>
              <w:t>qty</w:t>
            </w:r>
          </w:p>
        </w:tc>
        <w:tc>
          <w:tcPr>
            <w:tcW w:w="1554" w:type="dxa"/>
            <w:vAlign w:val="center"/>
            <w:hideMark/>
          </w:tcPr>
          <w:p w14:paraId="159C9B74" w14:textId="03EE0439" w:rsidR="00B05868" w:rsidRPr="001E4B15" w:rsidRDefault="00B05868" w:rsidP="00FD1A40">
            <w:pPr>
              <w:spacing w:before="0"/>
              <w:ind w:left="567"/>
              <w:jc w:val="both"/>
              <w:rPr>
                <w:rFonts w:ascii="Times New Roman" w:hAnsi="Times New Roman"/>
                <w:sz w:val="22"/>
              </w:rPr>
            </w:pPr>
            <w:r w:rsidRPr="001E4B15">
              <w:rPr>
                <w:rFonts w:ascii="Times New Roman" w:hAnsi="Times New Roman"/>
                <w:b/>
                <w:sz w:val="22"/>
              </w:rPr>
              <w:t>2 sets</w:t>
            </w:r>
          </w:p>
        </w:tc>
      </w:tr>
    </w:tbl>
    <w:p w14:paraId="066F8D28" w14:textId="33E659A2" w:rsidR="00DA4D57" w:rsidRPr="001E4B15" w:rsidRDefault="00DA4D57" w:rsidP="00B05868">
      <w:pPr>
        <w:pStyle w:val="Heading2"/>
        <w:keepNext w:val="0"/>
        <w:spacing w:before="0"/>
        <w:ind w:left="567"/>
        <w:jc w:val="both"/>
        <w:rPr>
          <w:rFonts w:ascii="Times New Roman" w:hAnsi="Times New Roman"/>
          <w:sz w:val="22"/>
        </w:rPr>
      </w:pPr>
    </w:p>
    <w:p w14:paraId="319F4504" w14:textId="77777777" w:rsidR="00B05868" w:rsidRPr="001E4B15" w:rsidRDefault="00B05868" w:rsidP="00D45256">
      <w:pPr>
        <w:spacing w:before="0"/>
        <w:ind w:left="567"/>
        <w:jc w:val="both"/>
        <w:rPr>
          <w:rFonts w:ascii="Times New Roman" w:hAnsi="Times New Roman"/>
          <w:sz w:val="22"/>
        </w:rPr>
      </w:pPr>
      <w:r w:rsidRPr="001E4B15">
        <w:rPr>
          <w:rFonts w:ascii="Times New Roman" w:hAnsi="Times New Roman"/>
          <w:sz w:val="22"/>
        </w:rPr>
        <w:t>a</w:t>
      </w:r>
      <w:r w:rsidR="0047783A" w:rsidRPr="001E4B15">
        <w:rPr>
          <w:rFonts w:ascii="Times New Roman" w:hAnsi="Times New Roman"/>
          <w:sz w:val="22"/>
        </w:rPr>
        <w:t>t</w:t>
      </w:r>
      <w:r w:rsidRPr="001E4B15">
        <w:rPr>
          <w:rFonts w:ascii="Times New Roman" w:hAnsi="Times New Roman"/>
          <w:sz w:val="22"/>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16"/>
        <w:gridCol w:w="2056"/>
        <w:gridCol w:w="1630"/>
        <w:gridCol w:w="1355"/>
        <w:gridCol w:w="1440"/>
      </w:tblGrid>
      <w:tr w:rsidR="001E4B15" w:rsidRPr="001E4B15" w14:paraId="3ABA1CE3" w14:textId="77777777" w:rsidTr="00FD1A40">
        <w:trPr>
          <w:tblHeader/>
          <w:tblCellSpacing w:w="15" w:type="dxa"/>
        </w:trPr>
        <w:tc>
          <w:tcPr>
            <w:tcW w:w="2835" w:type="dxa"/>
            <w:hideMark/>
          </w:tcPr>
          <w:p w14:paraId="46277CB9" w14:textId="77777777" w:rsidR="00B05868" w:rsidRPr="001E4B15" w:rsidRDefault="00B05868" w:rsidP="00FD1A40">
            <w:pPr>
              <w:pStyle w:val="Default"/>
              <w:rPr>
                <w:b/>
                <w:bCs/>
                <w:color w:val="auto"/>
                <w:sz w:val="22"/>
                <w:szCs w:val="22"/>
                <w:lang w:val="en-US"/>
              </w:rPr>
            </w:pPr>
            <w:r w:rsidRPr="001E4B15">
              <w:rPr>
                <w:b/>
                <w:bCs/>
                <w:color w:val="auto"/>
                <w:sz w:val="22"/>
                <w:szCs w:val="22"/>
                <w:lang w:val="en-US"/>
              </w:rPr>
              <w:t>Location</w:t>
            </w:r>
          </w:p>
        </w:tc>
        <w:tc>
          <w:tcPr>
            <w:tcW w:w="2424" w:type="dxa"/>
            <w:hideMark/>
          </w:tcPr>
          <w:p w14:paraId="73E8AFFA" w14:textId="77777777" w:rsidR="00B05868" w:rsidRPr="001E4B15" w:rsidRDefault="00B05868" w:rsidP="00FD1A40">
            <w:pPr>
              <w:pStyle w:val="Default"/>
              <w:rPr>
                <w:b/>
                <w:bCs/>
                <w:color w:val="auto"/>
                <w:sz w:val="22"/>
                <w:szCs w:val="22"/>
                <w:lang w:val="en-US"/>
              </w:rPr>
            </w:pPr>
            <w:r w:rsidRPr="001E4B15">
              <w:rPr>
                <w:b/>
                <w:bCs/>
                <w:color w:val="auto"/>
                <w:sz w:val="22"/>
                <w:szCs w:val="22"/>
                <w:lang w:val="en-US"/>
              </w:rPr>
              <w:t>Lot Number</w:t>
            </w:r>
          </w:p>
        </w:tc>
        <w:tc>
          <w:tcPr>
            <w:tcW w:w="1836" w:type="dxa"/>
            <w:hideMark/>
          </w:tcPr>
          <w:p w14:paraId="40B403CE" w14:textId="77777777" w:rsidR="00B05868" w:rsidRPr="001E4B15" w:rsidRDefault="00B05868" w:rsidP="00FD1A40">
            <w:pPr>
              <w:pStyle w:val="Default"/>
              <w:rPr>
                <w:b/>
                <w:bCs/>
                <w:color w:val="auto"/>
                <w:sz w:val="22"/>
                <w:szCs w:val="22"/>
                <w:lang w:val="en-US"/>
              </w:rPr>
            </w:pPr>
            <w:r w:rsidRPr="001E4B15">
              <w:rPr>
                <w:b/>
                <w:bCs/>
                <w:color w:val="auto"/>
                <w:sz w:val="22"/>
                <w:szCs w:val="22"/>
                <w:lang w:val="en-US"/>
              </w:rPr>
              <w:t>System Capacity</w:t>
            </w:r>
          </w:p>
        </w:tc>
        <w:tc>
          <w:tcPr>
            <w:tcW w:w="1481" w:type="dxa"/>
            <w:hideMark/>
          </w:tcPr>
          <w:p w14:paraId="5502C496" w14:textId="77777777" w:rsidR="00B05868" w:rsidRPr="001E4B15" w:rsidRDefault="00B05868" w:rsidP="00FD1A40">
            <w:pPr>
              <w:pStyle w:val="Default"/>
              <w:rPr>
                <w:b/>
                <w:bCs/>
                <w:color w:val="auto"/>
                <w:sz w:val="22"/>
                <w:szCs w:val="22"/>
                <w:lang w:val="en-US"/>
              </w:rPr>
            </w:pPr>
            <w:r w:rsidRPr="001E4B15">
              <w:rPr>
                <w:b/>
                <w:bCs/>
                <w:color w:val="auto"/>
                <w:sz w:val="22"/>
                <w:szCs w:val="22"/>
                <w:lang w:val="en-US"/>
              </w:rPr>
              <w:t>Building Use</w:t>
            </w:r>
          </w:p>
        </w:tc>
        <w:tc>
          <w:tcPr>
            <w:tcW w:w="1574" w:type="dxa"/>
          </w:tcPr>
          <w:p w14:paraId="663C84A8" w14:textId="77777777" w:rsidR="00B05868" w:rsidRPr="001E4B15" w:rsidRDefault="00B05868" w:rsidP="00FD1A40">
            <w:pPr>
              <w:pStyle w:val="Default"/>
              <w:rPr>
                <w:b/>
                <w:bCs/>
                <w:color w:val="auto"/>
                <w:sz w:val="22"/>
                <w:szCs w:val="22"/>
                <w:lang w:val="en-US"/>
              </w:rPr>
            </w:pPr>
            <w:r w:rsidRPr="001E4B15">
              <w:rPr>
                <w:b/>
                <w:bCs/>
                <w:color w:val="auto"/>
                <w:sz w:val="22"/>
                <w:szCs w:val="22"/>
                <w:lang w:val="en-US"/>
              </w:rPr>
              <w:t>Building Owner</w:t>
            </w:r>
          </w:p>
        </w:tc>
      </w:tr>
      <w:tr w:rsidR="001E4B15" w:rsidRPr="001E4B15" w14:paraId="53E93DC9" w14:textId="77777777" w:rsidTr="00FD1A40">
        <w:trPr>
          <w:tblCellSpacing w:w="15" w:type="dxa"/>
        </w:trPr>
        <w:tc>
          <w:tcPr>
            <w:tcW w:w="2835" w:type="dxa"/>
            <w:hideMark/>
          </w:tcPr>
          <w:p w14:paraId="10F313F9" w14:textId="77777777" w:rsidR="00B05868" w:rsidRPr="001E4B15" w:rsidRDefault="00B05868" w:rsidP="00FD1A40">
            <w:pPr>
              <w:pStyle w:val="Default"/>
              <w:rPr>
                <w:color w:val="auto"/>
                <w:sz w:val="22"/>
                <w:szCs w:val="22"/>
                <w:lang w:val="en-US"/>
              </w:rPr>
            </w:pPr>
            <w:proofErr w:type="spellStart"/>
            <w:r w:rsidRPr="001E4B15">
              <w:rPr>
                <w:color w:val="auto"/>
                <w:sz w:val="22"/>
                <w:szCs w:val="22"/>
                <w:lang w:val="en-US"/>
              </w:rPr>
              <w:t>Venac</w:t>
            </w:r>
            <w:proofErr w:type="spellEnd"/>
            <w:r w:rsidRPr="001E4B15">
              <w:rPr>
                <w:color w:val="auto"/>
                <w:sz w:val="22"/>
                <w:szCs w:val="22"/>
                <w:lang w:val="en-US"/>
              </w:rPr>
              <w:t xml:space="preserve"> Petra </w:t>
            </w:r>
            <w:proofErr w:type="spellStart"/>
            <w:r w:rsidRPr="001E4B15">
              <w:rPr>
                <w:color w:val="auto"/>
                <w:sz w:val="22"/>
                <w:szCs w:val="22"/>
                <w:lang w:val="en-US"/>
              </w:rPr>
              <w:t>Bojovića</w:t>
            </w:r>
            <w:proofErr w:type="spellEnd"/>
            <w:r w:rsidRPr="001E4B15">
              <w:rPr>
                <w:color w:val="auto"/>
                <w:sz w:val="22"/>
                <w:szCs w:val="22"/>
                <w:lang w:val="en-US"/>
              </w:rPr>
              <w:t xml:space="preserve"> 11</w:t>
            </w:r>
          </w:p>
          <w:p w14:paraId="5851F353" w14:textId="77777777" w:rsidR="00B05868" w:rsidRPr="001E4B15" w:rsidRDefault="00B05868" w:rsidP="00FD1A40">
            <w:pPr>
              <w:pStyle w:val="Default"/>
              <w:rPr>
                <w:color w:val="auto"/>
                <w:sz w:val="22"/>
                <w:szCs w:val="22"/>
                <w:lang w:val="en-US"/>
              </w:rPr>
            </w:pPr>
            <w:r w:rsidRPr="001E4B15">
              <w:rPr>
                <w:color w:val="auto"/>
                <w:sz w:val="22"/>
                <w:szCs w:val="22"/>
                <w:lang w:val="en-US"/>
              </w:rPr>
              <w:t xml:space="preserve">25000 Sombor </w:t>
            </w:r>
          </w:p>
        </w:tc>
        <w:tc>
          <w:tcPr>
            <w:tcW w:w="2424" w:type="dxa"/>
            <w:hideMark/>
          </w:tcPr>
          <w:p w14:paraId="5AF09603" w14:textId="77777777" w:rsidR="00B05868" w:rsidRPr="001E4B15" w:rsidRDefault="00B05868" w:rsidP="00FD1A40">
            <w:pPr>
              <w:pStyle w:val="Default"/>
              <w:rPr>
                <w:color w:val="auto"/>
                <w:sz w:val="22"/>
                <w:szCs w:val="22"/>
                <w:lang w:val="en-US"/>
              </w:rPr>
            </w:pPr>
            <w:r w:rsidRPr="001E4B15">
              <w:rPr>
                <w:color w:val="auto"/>
                <w:sz w:val="22"/>
                <w:szCs w:val="22"/>
                <w:lang w:val="en-US"/>
              </w:rPr>
              <w:t xml:space="preserve">7209 </w:t>
            </w:r>
            <w:proofErr w:type="spellStart"/>
            <w:r w:rsidRPr="001E4B15">
              <w:rPr>
                <w:color w:val="auto"/>
                <w:sz w:val="22"/>
                <w:szCs w:val="22"/>
                <w:lang w:val="en-US"/>
              </w:rPr>
              <w:t>k.o.</w:t>
            </w:r>
            <w:proofErr w:type="spellEnd"/>
            <w:r w:rsidRPr="001E4B15">
              <w:rPr>
                <w:color w:val="auto"/>
                <w:sz w:val="22"/>
                <w:szCs w:val="22"/>
                <w:lang w:val="en-US"/>
              </w:rPr>
              <w:t xml:space="preserve"> Sombor 1</w:t>
            </w:r>
          </w:p>
        </w:tc>
        <w:tc>
          <w:tcPr>
            <w:tcW w:w="1836" w:type="dxa"/>
            <w:hideMark/>
          </w:tcPr>
          <w:p w14:paraId="5AB7C947" w14:textId="77777777" w:rsidR="00B05868" w:rsidRPr="001E4B15" w:rsidRDefault="00B05868" w:rsidP="00FD1A40">
            <w:pPr>
              <w:pStyle w:val="Default"/>
              <w:rPr>
                <w:color w:val="auto"/>
                <w:sz w:val="22"/>
                <w:szCs w:val="22"/>
                <w:lang w:val="en-US"/>
              </w:rPr>
            </w:pPr>
            <w:r w:rsidRPr="001E4B15">
              <w:rPr>
                <w:color w:val="auto"/>
                <w:sz w:val="22"/>
                <w:szCs w:val="22"/>
                <w:lang w:val="en-US"/>
              </w:rPr>
              <w:t>0.04 MW</w:t>
            </w:r>
          </w:p>
        </w:tc>
        <w:tc>
          <w:tcPr>
            <w:tcW w:w="1481" w:type="dxa"/>
            <w:hideMark/>
          </w:tcPr>
          <w:p w14:paraId="57B1A0FA" w14:textId="77777777" w:rsidR="00B05868" w:rsidRPr="001E4B15" w:rsidRDefault="00B05868" w:rsidP="00FD1A40">
            <w:pPr>
              <w:pStyle w:val="Default"/>
              <w:rPr>
                <w:color w:val="auto"/>
                <w:sz w:val="22"/>
                <w:szCs w:val="22"/>
                <w:lang w:val="en-US"/>
              </w:rPr>
            </w:pPr>
            <w:r w:rsidRPr="001E4B15">
              <w:rPr>
                <w:color w:val="auto"/>
                <w:sz w:val="22"/>
                <w:szCs w:val="22"/>
                <w:lang w:val="en-US"/>
              </w:rPr>
              <w:t>SC “Soko”</w:t>
            </w:r>
          </w:p>
        </w:tc>
        <w:tc>
          <w:tcPr>
            <w:tcW w:w="1574" w:type="dxa"/>
          </w:tcPr>
          <w:p w14:paraId="54797E25" w14:textId="77777777" w:rsidR="00B05868" w:rsidRPr="001E4B15" w:rsidRDefault="00B05868" w:rsidP="00FD1A40">
            <w:pPr>
              <w:pStyle w:val="Default"/>
              <w:rPr>
                <w:color w:val="auto"/>
                <w:sz w:val="22"/>
                <w:szCs w:val="22"/>
                <w:lang w:val="en-US"/>
              </w:rPr>
            </w:pPr>
            <w:r w:rsidRPr="001E4B15">
              <w:rPr>
                <w:color w:val="auto"/>
                <w:sz w:val="22"/>
                <w:szCs w:val="22"/>
                <w:lang w:val="en-US"/>
              </w:rPr>
              <w:t>City of Sombor</w:t>
            </w:r>
          </w:p>
        </w:tc>
      </w:tr>
      <w:tr w:rsidR="001E4B15" w:rsidRPr="001E4B15" w14:paraId="4BD81A85" w14:textId="77777777" w:rsidTr="00FD1A40">
        <w:trPr>
          <w:tblCellSpacing w:w="15" w:type="dxa"/>
        </w:trPr>
        <w:tc>
          <w:tcPr>
            <w:tcW w:w="2835" w:type="dxa"/>
            <w:hideMark/>
          </w:tcPr>
          <w:p w14:paraId="35F43AE3" w14:textId="77777777" w:rsidR="00B05868" w:rsidRPr="001E4B15" w:rsidRDefault="00B05868" w:rsidP="00FD1A40">
            <w:pPr>
              <w:spacing w:before="0" w:after="0"/>
              <w:rPr>
                <w:rFonts w:ascii="Times New Roman" w:hAnsi="Times New Roman"/>
                <w:snapToGrid/>
                <w:sz w:val="24"/>
                <w:szCs w:val="24"/>
                <w:lang w:val="en-US"/>
              </w:rPr>
            </w:pPr>
            <w:proofErr w:type="spellStart"/>
            <w:r w:rsidRPr="001E4B15">
              <w:rPr>
                <w:rFonts w:ascii="Times New Roman" w:hAnsi="Times New Roman"/>
                <w:snapToGrid/>
                <w:sz w:val="24"/>
                <w:szCs w:val="24"/>
                <w:lang w:val="en-US"/>
              </w:rPr>
              <w:t>Apatinski</w:t>
            </w:r>
            <w:proofErr w:type="spellEnd"/>
            <w:r w:rsidRPr="001E4B15">
              <w:rPr>
                <w:rFonts w:ascii="Times New Roman" w:hAnsi="Times New Roman"/>
                <w:snapToGrid/>
                <w:sz w:val="24"/>
                <w:szCs w:val="24"/>
                <w:lang w:val="en-US"/>
              </w:rPr>
              <w:t xml:space="preserve"> put bb</w:t>
            </w:r>
          </w:p>
          <w:p w14:paraId="7583DB65" w14:textId="77777777" w:rsidR="00B05868" w:rsidRPr="001E4B15" w:rsidRDefault="00B05868" w:rsidP="00FD1A40">
            <w:pPr>
              <w:spacing w:before="0" w:after="0"/>
              <w:rPr>
                <w:rFonts w:ascii="Times New Roman" w:hAnsi="Times New Roman"/>
                <w:snapToGrid/>
                <w:sz w:val="24"/>
                <w:szCs w:val="24"/>
                <w:lang w:val="en-US"/>
              </w:rPr>
            </w:pPr>
            <w:r w:rsidRPr="001E4B15">
              <w:rPr>
                <w:rFonts w:ascii="Times New Roman" w:hAnsi="Times New Roman"/>
                <w:snapToGrid/>
                <w:sz w:val="24"/>
                <w:szCs w:val="24"/>
                <w:lang w:val="en-US"/>
              </w:rPr>
              <w:t>25000 Sombor</w:t>
            </w:r>
          </w:p>
        </w:tc>
        <w:tc>
          <w:tcPr>
            <w:tcW w:w="2424" w:type="dxa"/>
            <w:hideMark/>
          </w:tcPr>
          <w:p w14:paraId="5E84B617" w14:textId="77777777" w:rsidR="00B05868" w:rsidRPr="001E4B15" w:rsidRDefault="00B05868" w:rsidP="00FD1A40">
            <w:pPr>
              <w:spacing w:before="0" w:after="0"/>
              <w:rPr>
                <w:rFonts w:ascii="Times New Roman" w:hAnsi="Times New Roman"/>
                <w:snapToGrid/>
                <w:sz w:val="24"/>
                <w:szCs w:val="24"/>
                <w:lang w:val="en-US"/>
              </w:rPr>
            </w:pPr>
            <w:r w:rsidRPr="001E4B15">
              <w:rPr>
                <w:rFonts w:ascii="Times New Roman" w:hAnsi="Times New Roman"/>
                <w:snapToGrid/>
                <w:sz w:val="24"/>
                <w:szCs w:val="24"/>
                <w:lang w:val="en-US"/>
              </w:rPr>
              <w:t xml:space="preserve">8735/6 </w:t>
            </w:r>
            <w:proofErr w:type="spellStart"/>
            <w:r w:rsidRPr="001E4B15">
              <w:rPr>
                <w:rFonts w:ascii="Times New Roman" w:hAnsi="Times New Roman"/>
                <w:snapToGrid/>
                <w:sz w:val="24"/>
                <w:szCs w:val="24"/>
                <w:lang w:val="en-US"/>
              </w:rPr>
              <w:t>k.o.</w:t>
            </w:r>
            <w:proofErr w:type="spellEnd"/>
            <w:r w:rsidRPr="001E4B15">
              <w:rPr>
                <w:rFonts w:ascii="Times New Roman" w:hAnsi="Times New Roman"/>
                <w:snapToGrid/>
                <w:sz w:val="24"/>
                <w:szCs w:val="24"/>
                <w:lang w:val="en-US"/>
              </w:rPr>
              <w:t xml:space="preserve"> Sombor 1</w:t>
            </w:r>
          </w:p>
        </w:tc>
        <w:tc>
          <w:tcPr>
            <w:tcW w:w="1836" w:type="dxa"/>
            <w:hideMark/>
          </w:tcPr>
          <w:p w14:paraId="244A68B3" w14:textId="77777777" w:rsidR="00B05868" w:rsidRPr="001E4B15" w:rsidRDefault="00B05868" w:rsidP="00FD1A40">
            <w:pPr>
              <w:spacing w:before="0" w:after="0"/>
              <w:rPr>
                <w:rFonts w:ascii="Times New Roman" w:hAnsi="Times New Roman"/>
                <w:snapToGrid/>
                <w:sz w:val="24"/>
                <w:szCs w:val="24"/>
                <w:lang w:val="en-US"/>
              </w:rPr>
            </w:pPr>
            <w:r w:rsidRPr="001E4B15">
              <w:rPr>
                <w:rFonts w:ascii="Times New Roman" w:hAnsi="Times New Roman"/>
                <w:snapToGrid/>
                <w:sz w:val="24"/>
                <w:szCs w:val="24"/>
                <w:lang w:val="en-US"/>
              </w:rPr>
              <w:t>0.25 MW</w:t>
            </w:r>
          </w:p>
        </w:tc>
        <w:tc>
          <w:tcPr>
            <w:tcW w:w="1481" w:type="dxa"/>
            <w:hideMark/>
          </w:tcPr>
          <w:p w14:paraId="559F546C" w14:textId="77777777" w:rsidR="00B05868" w:rsidRPr="001E4B15" w:rsidRDefault="00B05868" w:rsidP="00FD1A40">
            <w:pPr>
              <w:spacing w:before="0" w:after="0"/>
              <w:rPr>
                <w:rFonts w:ascii="Times New Roman" w:hAnsi="Times New Roman"/>
                <w:snapToGrid/>
                <w:sz w:val="24"/>
                <w:szCs w:val="24"/>
                <w:lang w:val="en-US"/>
              </w:rPr>
            </w:pPr>
            <w:r w:rsidRPr="001E4B15">
              <w:rPr>
                <w:rFonts w:ascii="Times New Roman" w:hAnsi="Times New Roman"/>
                <w:snapToGrid/>
                <w:sz w:val="24"/>
                <w:szCs w:val="24"/>
                <w:lang w:val="en-US"/>
              </w:rPr>
              <w:t>SC “Soko”</w:t>
            </w:r>
          </w:p>
        </w:tc>
        <w:tc>
          <w:tcPr>
            <w:tcW w:w="1574" w:type="dxa"/>
          </w:tcPr>
          <w:p w14:paraId="5C769251" w14:textId="77777777" w:rsidR="00B05868" w:rsidRPr="001E4B15" w:rsidRDefault="00B05868" w:rsidP="00FD1A40">
            <w:pPr>
              <w:spacing w:before="0" w:after="0"/>
              <w:rPr>
                <w:rFonts w:ascii="Times New Roman" w:hAnsi="Times New Roman"/>
                <w:snapToGrid/>
                <w:sz w:val="24"/>
                <w:szCs w:val="24"/>
                <w:lang w:val="en-US"/>
              </w:rPr>
            </w:pPr>
            <w:r w:rsidRPr="001E4B15">
              <w:rPr>
                <w:rFonts w:ascii="Times New Roman" w:hAnsi="Times New Roman"/>
                <w:sz w:val="22"/>
                <w:szCs w:val="22"/>
                <w:lang w:val="en-US"/>
              </w:rPr>
              <w:t>City of Sombor</w:t>
            </w:r>
          </w:p>
        </w:tc>
      </w:tr>
    </w:tbl>
    <w:p w14:paraId="0086F5CD" w14:textId="5AB923A6" w:rsidR="0047783A" w:rsidRPr="001E4B15" w:rsidRDefault="00CF63C2" w:rsidP="00B05868">
      <w:pPr>
        <w:spacing w:before="0"/>
        <w:ind w:left="567"/>
        <w:jc w:val="both"/>
        <w:rPr>
          <w:rFonts w:ascii="Times New Roman" w:hAnsi="Times New Roman"/>
          <w:sz w:val="22"/>
        </w:rPr>
      </w:pPr>
      <w:r w:rsidRPr="001E4B15">
        <w:rPr>
          <w:rFonts w:ascii="Times New Roman" w:hAnsi="Times New Roman"/>
          <w:sz w:val="22"/>
        </w:rPr>
        <w:t>DDP</w:t>
      </w:r>
      <w:r w:rsidRPr="001E4B15">
        <w:rPr>
          <w:rStyle w:val="FootnoteReference"/>
          <w:rFonts w:ascii="Times New Roman" w:hAnsi="Times New Roman"/>
          <w:sz w:val="22"/>
        </w:rPr>
        <w:footnoteReference w:id="1"/>
      </w:r>
      <w:r w:rsidR="006A5F84" w:rsidRPr="001E4B15">
        <w:rPr>
          <w:rFonts w:ascii="Times New Roman" w:hAnsi="Times New Roman"/>
          <w:sz w:val="22"/>
        </w:rPr>
        <w:t>,</w:t>
      </w:r>
      <w:r w:rsidR="0047783A" w:rsidRPr="001E4B15">
        <w:rPr>
          <w:rFonts w:ascii="Times New Roman" w:hAnsi="Times New Roman"/>
          <w:sz w:val="22"/>
        </w:rPr>
        <w:t xml:space="preserve"> and</w:t>
      </w:r>
      <w:r w:rsidR="00B05868" w:rsidRPr="001E4B15">
        <w:rPr>
          <w:rFonts w:ascii="Times New Roman" w:hAnsi="Times New Roman"/>
          <w:sz w:val="22"/>
        </w:rPr>
        <w:t xml:space="preserve"> the implementation of the tasks is 90 days from the commencement order of the contract until the provisional acceptance</w:t>
      </w:r>
      <w:r w:rsidR="00B05868" w:rsidRPr="001E4B15">
        <w:rPr>
          <w:rFonts w:ascii="Times New Roman" w:hAnsi="Times New Roman"/>
          <w:sz w:val="22"/>
          <w:szCs w:val="22"/>
        </w:rPr>
        <w:t xml:space="preserve"> in accordance with the contract notice.</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sidRPr="001E4B15">
        <w:rPr>
          <w:rFonts w:ascii="Times New Roman" w:hAnsi="Times New Roman"/>
          <w:sz w:val="22"/>
          <w:lang w:val="en-GB"/>
        </w:rPr>
        <w:t>1.2</w:t>
      </w:r>
      <w:r w:rsidR="0047783A" w:rsidRPr="001E4B15">
        <w:rPr>
          <w:rFonts w:ascii="Times New Roman" w:hAnsi="Times New Roman"/>
          <w:sz w:val="22"/>
          <w:lang w:val="en-GB"/>
        </w:rPr>
        <w:tab/>
        <w:t>The supplies must comply fully with the technical specifications set out in the tender dossier</w:t>
      </w:r>
      <w:r w:rsidR="0047783A" w:rsidRPr="00E82463">
        <w:rPr>
          <w:rFonts w:ascii="Times New Roman" w:hAnsi="Times New Roman"/>
          <w:sz w:val="22"/>
          <w:lang w:val="en-GB"/>
        </w:rPr>
        <w:t xml:space="preserve"> (technical annex) and conform in all respects with the drawings, quantities, models, samples, measurements and other instructions.</w:t>
      </w:r>
    </w:p>
    <w:bookmarkEnd w:id="2"/>
    <w:bookmarkEnd w:id="3"/>
    <w:p w14:paraId="435D1BB3" w14:textId="75D135A1"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B05868">
        <w:rPr>
          <w:rFonts w:ascii="Times New Roman" w:hAnsi="Times New Roman"/>
          <w:sz w:val="22"/>
          <w:lang w:val="en-GB"/>
        </w:rPr>
        <w:t>N/A</w:t>
      </w:r>
    </w:p>
    <w:p w14:paraId="65FC8B4D" w14:textId="2CC33952"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Heading1"/>
      </w:pPr>
      <w:bookmarkStart w:id="4" w:name="_Toc42488071"/>
      <w:r w:rsidRPr="001A2BC4">
        <w:t>2</w:t>
      </w:r>
      <w:r w:rsidR="00E93182">
        <w:tab/>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65DB2A02" w14:textId="77777777" w:rsidTr="00D45256">
        <w:tc>
          <w:tcPr>
            <w:tcW w:w="3686" w:type="dxa"/>
            <w:shd w:val="pct10" w:color="auto" w:fill="FFFFFF"/>
          </w:tcPr>
          <w:p w14:paraId="132820BF" w14:textId="7C73830B" w:rsidR="00403B25" w:rsidRPr="00E82463" w:rsidRDefault="004531C7" w:rsidP="00D45256">
            <w:pPr>
              <w:spacing w:before="60" w:after="60"/>
              <w:jc w:val="both"/>
              <w:rPr>
                <w:rFonts w:ascii="Times New Roman" w:hAnsi="Times New Roman"/>
                <w:b/>
                <w:sz w:val="22"/>
              </w:rPr>
            </w:pPr>
            <w:r>
              <w:rPr>
                <w:rFonts w:ascii="Times New Roman" w:hAnsi="Times New Roman"/>
                <w:b/>
                <w:sz w:val="22"/>
              </w:rPr>
              <w:t>Information</w:t>
            </w:r>
            <w:r w:rsidRPr="00E82463">
              <w:rPr>
                <w:rFonts w:ascii="Times New Roman" w:hAnsi="Times New Roman"/>
                <w:b/>
                <w:sz w:val="22"/>
              </w:rPr>
              <w:t xml:space="preserve"> </w:t>
            </w:r>
            <w:r w:rsidR="00403B25" w:rsidRPr="00E82463">
              <w:rPr>
                <w:rFonts w:ascii="Times New Roman" w:hAnsi="Times New Roman"/>
                <w:b/>
                <w:sz w:val="22"/>
              </w:rPr>
              <w:t>meeting / site visit (if any)</w:t>
            </w:r>
          </w:p>
        </w:tc>
        <w:tc>
          <w:tcPr>
            <w:tcW w:w="2410" w:type="dxa"/>
          </w:tcPr>
          <w:p w14:paraId="057CFEC8" w14:textId="04EA83B6" w:rsidR="00403B25" w:rsidRPr="00C646A2" w:rsidRDefault="00050CFE" w:rsidP="00FC5ECD">
            <w:pPr>
              <w:spacing w:before="60" w:after="60"/>
              <w:jc w:val="center"/>
              <w:rPr>
                <w:rFonts w:ascii="Times New Roman" w:hAnsi="Times New Roman"/>
                <w:sz w:val="22"/>
              </w:rPr>
            </w:pPr>
            <w:r w:rsidRPr="00C646A2">
              <w:rPr>
                <w:rFonts w:ascii="Times New Roman" w:hAnsi="Times New Roman"/>
                <w:sz w:val="22"/>
              </w:rPr>
              <w:t>04.06.2025.</w:t>
            </w:r>
          </w:p>
        </w:tc>
        <w:tc>
          <w:tcPr>
            <w:tcW w:w="2551" w:type="dxa"/>
          </w:tcPr>
          <w:p w14:paraId="2746E565" w14:textId="16CD96DF" w:rsidR="00403B25" w:rsidRPr="00156114" w:rsidRDefault="00050CFE" w:rsidP="00D45256">
            <w:pPr>
              <w:spacing w:before="60" w:after="60"/>
              <w:jc w:val="center"/>
              <w:rPr>
                <w:rFonts w:ascii="Times New Roman" w:hAnsi="Times New Roman"/>
                <w:sz w:val="22"/>
              </w:rPr>
            </w:pPr>
            <w:r>
              <w:rPr>
                <w:rFonts w:ascii="Times New Roman" w:hAnsi="Times New Roman"/>
                <w:sz w:val="22"/>
                <w:szCs w:val="22"/>
              </w:rPr>
              <w:t>13:00 CET</w:t>
            </w:r>
          </w:p>
        </w:tc>
      </w:tr>
      <w:tr w:rsidR="00403B25" w:rsidRPr="00E82463" w14:paraId="750EA862" w14:textId="77777777" w:rsidTr="00D45256">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7B98F50C" w:rsidR="00403B25" w:rsidRPr="00C646A2" w:rsidRDefault="00C010AC" w:rsidP="00FC5ECD">
            <w:pPr>
              <w:spacing w:before="60" w:after="60"/>
              <w:jc w:val="center"/>
              <w:rPr>
                <w:rFonts w:ascii="Times New Roman" w:hAnsi="Times New Roman"/>
                <w:sz w:val="22"/>
                <w:szCs w:val="22"/>
              </w:rPr>
            </w:pPr>
            <w:r w:rsidRPr="00C646A2">
              <w:rPr>
                <w:rFonts w:ascii="Times New Roman" w:hAnsi="Times New Roman"/>
                <w:sz w:val="22"/>
                <w:szCs w:val="22"/>
              </w:rPr>
              <w:t>11.06.2025.</w:t>
            </w:r>
          </w:p>
        </w:tc>
        <w:tc>
          <w:tcPr>
            <w:tcW w:w="2551" w:type="dxa"/>
          </w:tcPr>
          <w:p w14:paraId="5B1CA5BA" w14:textId="4A3EB6D1" w:rsidR="00403B25" w:rsidRPr="00403B25" w:rsidRDefault="00C010AC" w:rsidP="00D45256">
            <w:pPr>
              <w:spacing w:before="60" w:after="60"/>
              <w:jc w:val="center"/>
              <w:rPr>
                <w:rFonts w:ascii="Times New Roman" w:hAnsi="Times New Roman"/>
                <w:sz w:val="22"/>
              </w:rPr>
            </w:pPr>
            <w:r>
              <w:rPr>
                <w:rFonts w:ascii="Times New Roman" w:hAnsi="Times New Roman"/>
                <w:sz w:val="22"/>
                <w:szCs w:val="22"/>
              </w:rPr>
              <w:t>14:00 CET</w:t>
            </w:r>
          </w:p>
        </w:tc>
      </w:tr>
      <w:tr w:rsidR="00403B25" w:rsidRPr="00E82463" w14:paraId="3722E57B" w14:textId="77777777" w:rsidTr="00D45256">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78C8C6DC" w:rsidR="00403B25" w:rsidRPr="00C646A2" w:rsidRDefault="0034606F" w:rsidP="00FC5ECD">
            <w:pPr>
              <w:spacing w:before="60" w:after="60"/>
              <w:jc w:val="center"/>
              <w:rPr>
                <w:rFonts w:ascii="Times New Roman" w:hAnsi="Times New Roman"/>
                <w:sz w:val="22"/>
                <w:szCs w:val="22"/>
              </w:rPr>
            </w:pPr>
            <w:r w:rsidRPr="00C646A2">
              <w:rPr>
                <w:rFonts w:ascii="Times New Roman" w:hAnsi="Times New Roman"/>
                <w:sz w:val="22"/>
                <w:szCs w:val="22"/>
              </w:rPr>
              <w:t>21.06.2025.</w:t>
            </w:r>
          </w:p>
        </w:tc>
        <w:tc>
          <w:tcPr>
            <w:tcW w:w="2551" w:type="dxa"/>
          </w:tcPr>
          <w:p w14:paraId="042C6B74" w14:textId="77777777" w:rsidR="00403B25" w:rsidRPr="00E82463" w:rsidRDefault="00403B25" w:rsidP="00D45256">
            <w:pPr>
              <w:spacing w:before="60" w:after="60"/>
              <w:jc w:val="center"/>
              <w:rPr>
                <w:rFonts w:ascii="Times New Roman" w:hAnsi="Times New Roman"/>
                <w:sz w:val="22"/>
              </w:rPr>
            </w:pPr>
            <w:r w:rsidRPr="00E82463">
              <w:rPr>
                <w:rFonts w:ascii="Times New Roman" w:hAnsi="Times New Roman"/>
                <w:sz w:val="22"/>
              </w:rPr>
              <w:t>-</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7AEB3EEE" w:rsidR="007B10D9" w:rsidRPr="00C646A2" w:rsidRDefault="00C010AC" w:rsidP="00FC5ECD">
            <w:pPr>
              <w:spacing w:before="60" w:after="60"/>
              <w:jc w:val="center"/>
              <w:rPr>
                <w:rFonts w:ascii="Times New Roman" w:hAnsi="Times New Roman"/>
                <w:sz w:val="22"/>
              </w:rPr>
            </w:pPr>
            <w:r w:rsidRPr="00C646A2">
              <w:rPr>
                <w:rFonts w:ascii="Times New Roman" w:hAnsi="Times New Roman"/>
                <w:sz w:val="22"/>
              </w:rPr>
              <w:t>02.07.2025.</w:t>
            </w:r>
          </w:p>
        </w:tc>
        <w:tc>
          <w:tcPr>
            <w:tcW w:w="2551" w:type="dxa"/>
          </w:tcPr>
          <w:p w14:paraId="24FA29BB" w14:textId="286288FF" w:rsidR="007B10D9" w:rsidRPr="005567FC" w:rsidRDefault="00C010AC" w:rsidP="005567FC">
            <w:pPr>
              <w:spacing w:before="60" w:after="60"/>
              <w:jc w:val="center"/>
              <w:rPr>
                <w:rFonts w:ascii="Times New Roman" w:hAnsi="Times New Roman"/>
                <w:sz w:val="22"/>
              </w:rPr>
            </w:pPr>
            <w:r>
              <w:rPr>
                <w:rFonts w:ascii="Times New Roman" w:hAnsi="Times New Roman"/>
                <w:sz w:val="22"/>
                <w:szCs w:val="22"/>
              </w:rPr>
              <w:t>14:00 CET</w:t>
            </w:r>
          </w:p>
        </w:tc>
      </w:tr>
      <w:tr w:rsidR="007B10D9" w:rsidRPr="00E82463" w14:paraId="0190C6E2" w14:textId="77777777" w:rsidTr="00D45256">
        <w:tc>
          <w:tcPr>
            <w:tcW w:w="3686" w:type="dxa"/>
            <w:shd w:val="pct10" w:color="auto" w:fill="FFFFFF"/>
          </w:tcPr>
          <w:p w14:paraId="550FBF2E"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1059BCD7" w:rsidR="007B10D9" w:rsidRPr="00C646A2" w:rsidRDefault="00C010AC" w:rsidP="00FC5ECD">
            <w:pPr>
              <w:spacing w:before="60" w:after="60"/>
              <w:jc w:val="center"/>
              <w:rPr>
                <w:rFonts w:ascii="Times New Roman" w:hAnsi="Times New Roman"/>
                <w:sz w:val="22"/>
              </w:rPr>
            </w:pPr>
            <w:r w:rsidRPr="00C646A2">
              <w:rPr>
                <w:rFonts w:ascii="Times New Roman" w:hAnsi="Times New Roman"/>
                <w:sz w:val="22"/>
              </w:rPr>
              <w:t>03.07.2025.</w:t>
            </w:r>
          </w:p>
        </w:tc>
        <w:tc>
          <w:tcPr>
            <w:tcW w:w="2551" w:type="dxa"/>
          </w:tcPr>
          <w:p w14:paraId="4A5D8A55" w14:textId="2D28CE69" w:rsidR="007B10D9" w:rsidRPr="00E82463" w:rsidRDefault="00C010AC" w:rsidP="00D45256">
            <w:pPr>
              <w:spacing w:before="60" w:after="60"/>
              <w:jc w:val="center"/>
              <w:rPr>
                <w:rFonts w:ascii="Times New Roman" w:hAnsi="Times New Roman"/>
                <w:sz w:val="22"/>
              </w:rPr>
            </w:pPr>
            <w:r>
              <w:rPr>
                <w:rFonts w:ascii="Times New Roman" w:hAnsi="Times New Roman"/>
                <w:sz w:val="22"/>
                <w:szCs w:val="22"/>
              </w:rPr>
              <w:t>15:00 CET</w:t>
            </w:r>
          </w:p>
        </w:tc>
      </w:tr>
      <w:tr w:rsidR="005567FC" w:rsidRPr="00E82463" w14:paraId="3B4561D8" w14:textId="77777777" w:rsidTr="00D45256">
        <w:tc>
          <w:tcPr>
            <w:tcW w:w="3686" w:type="dxa"/>
            <w:shd w:val="pct10" w:color="auto" w:fill="FFFFFF"/>
          </w:tcPr>
          <w:p w14:paraId="2A2A8413" w14:textId="77777777" w:rsidR="005567FC" w:rsidRPr="00E82463" w:rsidRDefault="005567FC" w:rsidP="005567FC">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4097419" w:rsidR="005567FC" w:rsidRPr="00C646A2" w:rsidRDefault="00C010AC" w:rsidP="00FC5ECD">
            <w:pPr>
              <w:tabs>
                <w:tab w:val="left" w:pos="851"/>
              </w:tabs>
              <w:spacing w:before="60" w:after="60"/>
              <w:jc w:val="center"/>
              <w:rPr>
                <w:rFonts w:ascii="Times New Roman" w:hAnsi="Times New Roman"/>
                <w:sz w:val="22"/>
              </w:rPr>
            </w:pPr>
            <w:r w:rsidRPr="00C646A2">
              <w:rPr>
                <w:rFonts w:ascii="Times New Roman" w:hAnsi="Times New Roman"/>
                <w:sz w:val="22"/>
              </w:rPr>
              <w:t>28.07.2025.</w:t>
            </w:r>
            <w:r w:rsidR="005567FC" w:rsidRPr="00C646A2">
              <w:rPr>
                <w:rFonts w:ascii="Times New Roman" w:hAnsi="Times New Roman"/>
                <w:sz w:val="22"/>
              </w:rPr>
              <w:t xml:space="preserve"> </w:t>
            </w:r>
            <w:r w:rsidR="005567FC" w:rsidRPr="00C646A2">
              <w:rPr>
                <w:rFonts w:ascii="Times New Roman" w:hAnsi="Times New Roman"/>
                <w:sz w:val="22"/>
                <w:vertAlign w:val="superscript"/>
              </w:rPr>
              <w:t>*</w:t>
            </w:r>
          </w:p>
        </w:tc>
        <w:tc>
          <w:tcPr>
            <w:tcW w:w="2551" w:type="dxa"/>
          </w:tcPr>
          <w:p w14:paraId="3D4FD905" w14:textId="77777777" w:rsidR="005567FC" w:rsidRPr="00E82463" w:rsidRDefault="005567FC" w:rsidP="005567FC">
            <w:pPr>
              <w:tabs>
                <w:tab w:val="left" w:pos="851"/>
              </w:tabs>
              <w:spacing w:before="60" w:after="60"/>
              <w:jc w:val="center"/>
              <w:rPr>
                <w:rFonts w:ascii="Times New Roman" w:hAnsi="Times New Roman"/>
                <w:sz w:val="22"/>
              </w:rPr>
            </w:pPr>
            <w:r w:rsidRPr="00E82463">
              <w:rPr>
                <w:rFonts w:ascii="Times New Roman" w:hAnsi="Times New Roman"/>
                <w:sz w:val="22"/>
              </w:rPr>
              <w:t>-</w:t>
            </w:r>
          </w:p>
        </w:tc>
      </w:tr>
      <w:tr w:rsidR="005567FC" w:rsidRPr="00E82463" w14:paraId="6F1F217F" w14:textId="77777777" w:rsidTr="00D45256">
        <w:tc>
          <w:tcPr>
            <w:tcW w:w="3686" w:type="dxa"/>
            <w:shd w:val="pct10" w:color="auto" w:fill="FFFFFF"/>
          </w:tcPr>
          <w:p w14:paraId="6FC76AD1" w14:textId="77777777" w:rsidR="005567FC" w:rsidRPr="00E82463" w:rsidRDefault="005567FC" w:rsidP="005567FC">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33CB8D5F" w:rsidR="005567FC" w:rsidRPr="00C646A2" w:rsidRDefault="00C010AC" w:rsidP="00FC5ECD">
            <w:pPr>
              <w:tabs>
                <w:tab w:val="left" w:pos="851"/>
              </w:tabs>
              <w:spacing w:before="60" w:after="60"/>
              <w:jc w:val="center"/>
              <w:rPr>
                <w:rFonts w:ascii="Times New Roman" w:hAnsi="Times New Roman"/>
                <w:sz w:val="22"/>
              </w:rPr>
            </w:pPr>
            <w:r w:rsidRPr="00C646A2">
              <w:rPr>
                <w:rFonts w:ascii="Times New Roman" w:hAnsi="Times New Roman"/>
                <w:sz w:val="22"/>
              </w:rPr>
              <w:t>From 08.08.2025.</w:t>
            </w:r>
            <w:r w:rsidR="005567FC" w:rsidRPr="00C646A2">
              <w:rPr>
                <w:rFonts w:ascii="Times New Roman" w:hAnsi="Times New Roman"/>
                <w:sz w:val="22"/>
              </w:rPr>
              <w:t xml:space="preserve"> </w:t>
            </w:r>
            <w:r w:rsidR="005567FC" w:rsidRPr="00C646A2">
              <w:rPr>
                <w:rFonts w:ascii="Times New Roman" w:hAnsi="Times New Roman"/>
                <w:sz w:val="22"/>
                <w:vertAlign w:val="superscript"/>
              </w:rPr>
              <w:t>*</w:t>
            </w:r>
          </w:p>
        </w:tc>
        <w:tc>
          <w:tcPr>
            <w:tcW w:w="2551" w:type="dxa"/>
          </w:tcPr>
          <w:p w14:paraId="1D7A125C" w14:textId="77777777" w:rsidR="005567FC" w:rsidRPr="00E82463" w:rsidRDefault="005567FC" w:rsidP="005567FC">
            <w:pPr>
              <w:tabs>
                <w:tab w:val="left" w:pos="851"/>
              </w:tabs>
              <w:spacing w:before="60" w:after="60"/>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t>**</w:t>
      </w:r>
      <w:r w:rsidR="00EC2910" w:rsidRPr="00EC2910">
        <w:rPr>
          <w:rFonts w:ascii="Times New Roman" w:hAnsi="Times New Roman"/>
          <w:b/>
        </w:rPr>
        <w:t>The time zone of the country of the contracting authority.</w:t>
      </w:r>
    </w:p>
    <w:p w14:paraId="121DD461" w14:textId="5CEAC5FB" w:rsidR="0047783A" w:rsidRPr="00D45256" w:rsidRDefault="00A633C6" w:rsidP="00D45256">
      <w:pPr>
        <w:pStyle w:val="Heading1"/>
        <w:rPr>
          <w:lang w:val="en-IE"/>
        </w:rPr>
      </w:pPr>
      <w:bookmarkStart w:id="6" w:name="_Toc42488072"/>
      <w:bookmarkEnd w:id="5"/>
      <w:r w:rsidRPr="00D45256">
        <w:rPr>
          <w:lang w:val="en-IE"/>
        </w:rPr>
        <w:t>3.</w:t>
      </w:r>
      <w:r w:rsidR="00E93182" w:rsidRPr="00D45256">
        <w:rPr>
          <w:lang w:val="en-IE"/>
        </w:rPr>
        <w:tab/>
      </w:r>
      <w:r w:rsidR="0047783A" w:rsidRPr="00D45256">
        <w:rPr>
          <w:lang w:val="en-IE"/>
        </w:rPr>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2"/>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proofErr w:type="gramStart"/>
      <w:r w:rsidR="00364FFD">
        <w:rPr>
          <w:rFonts w:ascii="Times New Roman" w:hAnsi="Times New Roman"/>
          <w:sz w:val="22"/>
          <w:lang w:val="en-GB"/>
        </w:rPr>
        <w:t>g</w:t>
      </w:r>
      <w:r w:rsidR="004925DF" w:rsidRPr="00DF6F10">
        <w:rPr>
          <w:rFonts w:ascii="Times New Roman" w:hAnsi="Times New Roman"/>
          <w:sz w:val="22"/>
          <w:lang w:val="en-GB"/>
        </w:rPr>
        <w:t>uide</w:t>
      </w:r>
      <w:proofErr w:type="gramEnd"/>
      <w:r w:rsidR="004925DF" w:rsidRPr="00DF6F10">
        <w:rPr>
          <w:rFonts w:ascii="Times New Roman" w:hAnsi="Times New Roman"/>
          <w:sz w:val="22"/>
          <w:lang w:val="en-GB"/>
        </w:rPr>
        <w:t xml:space="preserv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lastRenderedPageBreak/>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0680DC06" w:rsidR="0069153C" w:rsidRPr="00A4424B" w:rsidRDefault="0047783A" w:rsidP="005567FC">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 xml:space="preserve">Subcontracting is </w:t>
      </w:r>
      <w:r w:rsidR="00BB6A71">
        <w:rPr>
          <w:rFonts w:ascii="Times New Roman" w:hAnsi="Times New Roman"/>
          <w:sz w:val="22"/>
          <w:szCs w:val="22"/>
          <w:lang w:val="en-GB"/>
        </w:rPr>
        <w:t xml:space="preserve">not </w:t>
      </w:r>
      <w:r w:rsidR="00EC571A" w:rsidRPr="00EC571A">
        <w:rPr>
          <w:rFonts w:ascii="Times New Roman" w:hAnsi="Times New Roman"/>
          <w:sz w:val="22"/>
          <w:szCs w:val="22"/>
          <w:lang w:val="en-GB"/>
        </w:rPr>
        <w:t>allowed</w:t>
      </w:r>
      <w:r w:rsidR="00502B15">
        <w:rPr>
          <w:rFonts w:ascii="Times New Roman" w:hAnsi="Times New Roman"/>
          <w:sz w:val="22"/>
          <w:szCs w:val="22"/>
          <w:lang w:val="en-GB"/>
        </w:rPr>
        <w:t>.</w:t>
      </w:r>
    </w:p>
    <w:p w14:paraId="360F1A5F" w14:textId="61ADFB8A" w:rsidR="0047783A" w:rsidRPr="00D45256" w:rsidRDefault="00A633C6" w:rsidP="00D45256">
      <w:pPr>
        <w:pStyle w:val="Heading1"/>
        <w:rPr>
          <w:lang w:val="en-IE"/>
        </w:rPr>
      </w:pPr>
      <w:bookmarkStart w:id="7" w:name="_Toc42488073"/>
      <w:r w:rsidRPr="00D45256">
        <w:rPr>
          <w:lang w:val="en-IE"/>
        </w:rPr>
        <w:t>4</w:t>
      </w:r>
      <w:r w:rsidR="00E93182" w:rsidRPr="00D45256">
        <w:rPr>
          <w:lang w:val="en-IE"/>
        </w:rPr>
        <w:tab/>
      </w:r>
      <w:r w:rsidR="0047783A" w:rsidRPr="00D45256">
        <w:rPr>
          <w:lang w:val="en-IE"/>
        </w:rPr>
        <w:t>Origin</w:t>
      </w:r>
      <w:bookmarkEnd w:id="7"/>
    </w:p>
    <w:p w14:paraId="1596B88A" w14:textId="5FB4B740" w:rsidR="005567FC" w:rsidRPr="00555689" w:rsidRDefault="005567FC" w:rsidP="005567FC">
      <w:pPr>
        <w:pStyle w:val="paragraph"/>
        <w:ind w:left="567"/>
        <w:rPr>
          <w:rStyle w:val="normaltextrun"/>
          <w:sz w:val="22"/>
          <w:szCs w:val="22"/>
          <w:lang w:val="en-IE"/>
        </w:rPr>
      </w:pPr>
      <w:r w:rsidRPr="00555689">
        <w:rPr>
          <w:rStyle w:val="normaltextrun"/>
          <w:sz w:val="22"/>
          <w:szCs w:val="22"/>
          <w:lang w:val="en-IE"/>
        </w:rPr>
        <w:t>Participation in the award of procurement contracts and other award procedures for actions financed under the Programme is open to all legal persons which are effectively established in the participating countries, other Member States, other IPA III beneficiaries, contracting parties to the Agreement on the European Economic Area and partner countries covered by the European Neighbourhood Instrument (hereafter referred to as ‘eligible countries’), and to International Organisations.</w:t>
      </w:r>
    </w:p>
    <w:p w14:paraId="5232376F" w14:textId="77777777" w:rsidR="005567FC" w:rsidRPr="00555689" w:rsidRDefault="005567FC" w:rsidP="005567FC">
      <w:pPr>
        <w:pStyle w:val="paragraph"/>
        <w:ind w:left="567"/>
        <w:rPr>
          <w:rStyle w:val="normaltextrun"/>
          <w:sz w:val="22"/>
          <w:szCs w:val="22"/>
          <w:lang w:val="en-IE"/>
        </w:rPr>
      </w:pPr>
      <w:r w:rsidRPr="00555689">
        <w:rPr>
          <w:rStyle w:val="normaltextrun"/>
          <w:sz w:val="22"/>
          <w:szCs w:val="22"/>
          <w:lang w:val="en-IE"/>
        </w:rPr>
        <w:t>All supplies purchased under a procurement contract, or in accordance with a grant agreement, financed under IPA III shall originate from an eligible country or from any country which is eligible under the rules of the partner or other donor or member state or determined in the constitutive act of the trust fund.</w:t>
      </w:r>
    </w:p>
    <w:p w14:paraId="12D9D228" w14:textId="6B858B18" w:rsidR="00652FEF" w:rsidRPr="00555689" w:rsidRDefault="005567FC" w:rsidP="005567FC">
      <w:pPr>
        <w:pStyle w:val="paragraph"/>
        <w:ind w:left="567"/>
        <w:rPr>
          <w:sz w:val="22"/>
          <w:szCs w:val="22"/>
          <w:lang w:val="en-GB"/>
        </w:rPr>
      </w:pPr>
      <w:r w:rsidRPr="00555689">
        <w:rPr>
          <w:rStyle w:val="normaltextrun"/>
          <w:sz w:val="22"/>
          <w:szCs w:val="22"/>
          <w:lang w:val="en-IE"/>
        </w:rPr>
        <w:t>In line with the procurement rules of the Interreg VI-A IPA Programme Croatia–Serbia and PRAG 2025 provisions applicable under IPA III funding, there are no restrictions concerning the origin of goods. Accordingly, supplies may originate from any country, regardless of contract value or thresholds, unless explicitly stated otherwise in the tender documentation.</w:t>
      </w:r>
      <w:r w:rsidR="00D33BE3" w:rsidRPr="00555689">
        <w:rPr>
          <w:sz w:val="22"/>
          <w:szCs w:val="22"/>
          <w:lang w:val="en-GB"/>
        </w:rPr>
        <w:t xml:space="preserve"> </w:t>
      </w:r>
    </w:p>
    <w:p w14:paraId="31CBABF1" w14:textId="5400598F" w:rsidR="0047783A" w:rsidRPr="00555689" w:rsidRDefault="0047783A" w:rsidP="005567FC">
      <w:pPr>
        <w:pStyle w:val="Heading2"/>
        <w:keepNext w:val="0"/>
        <w:numPr>
          <w:ilvl w:val="1"/>
          <w:numId w:val="0"/>
        </w:numPr>
        <w:ind w:left="567"/>
        <w:jc w:val="both"/>
        <w:rPr>
          <w:rFonts w:ascii="Times New Roman" w:hAnsi="Times New Roman"/>
          <w:sz w:val="22"/>
          <w:lang w:val="en-GB"/>
        </w:rPr>
      </w:pPr>
      <w:r w:rsidRPr="00555689">
        <w:rPr>
          <w:rFonts w:ascii="Times New Roman" w:hAnsi="Times New Roman"/>
          <w:sz w:val="22"/>
          <w:lang w:val="en-GB"/>
        </w:rPr>
        <w:t>When submitting tender</w:t>
      </w:r>
      <w:r w:rsidR="00164F15" w:rsidRPr="00555689">
        <w:rPr>
          <w:rFonts w:ascii="Times New Roman" w:hAnsi="Times New Roman"/>
          <w:sz w:val="22"/>
          <w:lang w:val="en-GB"/>
        </w:rPr>
        <w:t>s</w:t>
      </w:r>
      <w:r w:rsidRPr="00555689">
        <w:rPr>
          <w:rFonts w:ascii="Times New Roman" w:hAnsi="Times New Roman"/>
          <w:sz w:val="22"/>
          <w:lang w:val="en-GB"/>
        </w:rPr>
        <w:t>, tenderer</w:t>
      </w:r>
      <w:r w:rsidR="00164F15" w:rsidRPr="00555689">
        <w:rPr>
          <w:rFonts w:ascii="Times New Roman" w:hAnsi="Times New Roman"/>
          <w:sz w:val="22"/>
          <w:lang w:val="en-GB"/>
        </w:rPr>
        <w:t>s</w:t>
      </w:r>
      <w:r w:rsidRPr="00555689">
        <w:rPr>
          <w:rFonts w:ascii="Times New Roman" w:hAnsi="Times New Roman"/>
          <w:sz w:val="22"/>
          <w:lang w:val="en-GB"/>
        </w:rPr>
        <w:t xml:space="preserve"> must state expressly that all the goods meet the requirements concerning origin and must state the countries of origin. </w:t>
      </w:r>
      <w:r w:rsidR="00164F15" w:rsidRPr="00555689">
        <w:rPr>
          <w:rFonts w:ascii="Times New Roman" w:hAnsi="Times New Roman"/>
          <w:sz w:val="22"/>
          <w:lang w:val="en-GB"/>
        </w:rPr>
        <w:t xml:space="preserve">They </w:t>
      </w:r>
      <w:r w:rsidRPr="00555689">
        <w:rPr>
          <w:rFonts w:ascii="Times New Roman" w:hAnsi="Times New Roman"/>
          <w:sz w:val="22"/>
          <w:lang w:val="en-GB"/>
        </w:rPr>
        <w:t>may be asked to provide additional information in this connection.</w:t>
      </w:r>
    </w:p>
    <w:p w14:paraId="60C6066D" w14:textId="70D8D1FF" w:rsidR="0047783A" w:rsidRPr="001E4B15" w:rsidRDefault="00A633C6" w:rsidP="00D45256">
      <w:pPr>
        <w:pStyle w:val="Heading1"/>
        <w:rPr>
          <w:lang w:val="en-IE"/>
        </w:rPr>
      </w:pPr>
      <w:bookmarkStart w:id="8" w:name="_Toc42488074"/>
      <w:r w:rsidRPr="001E4B15">
        <w:rPr>
          <w:lang w:val="en-IE"/>
        </w:rPr>
        <w:t>5.</w:t>
      </w:r>
      <w:r w:rsidR="00E93182" w:rsidRPr="001E4B15">
        <w:rPr>
          <w:lang w:val="en-IE"/>
        </w:rPr>
        <w:tab/>
      </w:r>
      <w:r w:rsidR="00BA2D4C" w:rsidRPr="001E4B15">
        <w:rPr>
          <w:lang w:val="en-IE"/>
        </w:rPr>
        <w:t>T</w:t>
      </w:r>
      <w:r w:rsidR="0047783A" w:rsidRPr="001E4B15">
        <w:rPr>
          <w:lang w:val="en-IE"/>
        </w:rPr>
        <w:t>ype of contract</w:t>
      </w:r>
      <w:bookmarkEnd w:id="8"/>
    </w:p>
    <w:p w14:paraId="27F17544" w14:textId="39814DFC" w:rsidR="0047783A" w:rsidRPr="001E4B15" w:rsidRDefault="00A2701B" w:rsidP="00D45256">
      <w:pPr>
        <w:pStyle w:val="Heading2"/>
        <w:keepNext w:val="0"/>
        <w:spacing w:before="0"/>
        <w:ind w:left="567"/>
        <w:jc w:val="both"/>
        <w:rPr>
          <w:rFonts w:ascii="Times New Roman" w:hAnsi="Times New Roman"/>
          <w:sz w:val="22"/>
          <w:lang w:val="en-GB"/>
        </w:rPr>
      </w:pPr>
      <w:r w:rsidRPr="001E4B15">
        <w:rPr>
          <w:rFonts w:ascii="Times New Roman" w:hAnsi="Times New Roman"/>
          <w:sz w:val="22"/>
          <w:lang w:val="en-GB"/>
        </w:rPr>
        <w:t>U</w:t>
      </w:r>
      <w:r w:rsidR="0047783A" w:rsidRPr="001E4B15">
        <w:rPr>
          <w:rFonts w:ascii="Times New Roman" w:hAnsi="Times New Roman"/>
          <w:sz w:val="22"/>
          <w:lang w:val="en-GB"/>
        </w:rPr>
        <w:t>nit-price</w:t>
      </w:r>
    </w:p>
    <w:p w14:paraId="752C7A3B" w14:textId="48FD1587" w:rsidR="0047783A" w:rsidRPr="001E4B15" w:rsidRDefault="00A633C6" w:rsidP="00D45256">
      <w:pPr>
        <w:pStyle w:val="Heading1"/>
        <w:rPr>
          <w:lang w:val="en-IE"/>
        </w:rPr>
      </w:pPr>
      <w:bookmarkStart w:id="9" w:name="_Toc42488075"/>
      <w:r w:rsidRPr="001E4B15">
        <w:rPr>
          <w:lang w:val="en-IE"/>
        </w:rPr>
        <w:t>6.</w:t>
      </w:r>
      <w:r w:rsidR="00E93182" w:rsidRPr="001E4B15">
        <w:rPr>
          <w:lang w:val="en-IE"/>
        </w:rPr>
        <w:tab/>
      </w:r>
      <w:r w:rsidR="0047783A" w:rsidRPr="001E4B15">
        <w:rPr>
          <w:lang w:val="en-IE"/>
        </w:rPr>
        <w:t>Currency</w:t>
      </w:r>
      <w:bookmarkEnd w:id="9"/>
    </w:p>
    <w:p w14:paraId="465A230B" w14:textId="0A210CF2" w:rsidR="0047783A" w:rsidRPr="001E4B15" w:rsidRDefault="0047783A" w:rsidP="00D45256">
      <w:pPr>
        <w:pStyle w:val="Heading2"/>
        <w:keepNext w:val="0"/>
        <w:spacing w:before="0"/>
        <w:ind w:left="567"/>
        <w:jc w:val="both"/>
        <w:rPr>
          <w:rFonts w:ascii="Times New Roman" w:hAnsi="Times New Roman"/>
          <w:sz w:val="22"/>
          <w:lang w:val="en-GB"/>
        </w:rPr>
      </w:pPr>
      <w:r w:rsidRPr="001E4B15">
        <w:rPr>
          <w:rFonts w:ascii="Times New Roman" w:hAnsi="Times New Roman"/>
          <w:sz w:val="22"/>
          <w:szCs w:val="22"/>
          <w:lang w:val="en-GB"/>
        </w:rPr>
        <w:t xml:space="preserve">Tenders must be presented in </w:t>
      </w:r>
      <w:r w:rsidR="0066145D" w:rsidRPr="001E4B15">
        <w:rPr>
          <w:rFonts w:ascii="Times New Roman" w:hAnsi="Times New Roman"/>
          <w:bCs/>
          <w:sz w:val="22"/>
          <w:szCs w:val="22"/>
          <w:lang w:val="en-GB"/>
        </w:rPr>
        <w:t>E</w:t>
      </w:r>
      <w:r w:rsidRPr="001E4B15">
        <w:rPr>
          <w:rFonts w:ascii="Times New Roman" w:hAnsi="Times New Roman"/>
          <w:bCs/>
          <w:sz w:val="22"/>
          <w:szCs w:val="22"/>
          <w:lang w:val="en-GB"/>
        </w:rPr>
        <w:t>uro</w:t>
      </w:r>
      <w:r w:rsidR="005F1EC7" w:rsidRPr="001E4B15">
        <w:rPr>
          <w:rFonts w:ascii="Times New Roman" w:hAnsi="Times New Roman"/>
          <w:sz w:val="22"/>
          <w:lang w:val="en-GB"/>
        </w:rPr>
        <w:t>.</w:t>
      </w:r>
    </w:p>
    <w:p w14:paraId="0AFF2F59" w14:textId="302FB97B" w:rsidR="0047783A" w:rsidRPr="001E4B15" w:rsidRDefault="00A633C6" w:rsidP="00D45256">
      <w:pPr>
        <w:pStyle w:val="Heading1"/>
        <w:rPr>
          <w:lang w:val="en-IE"/>
        </w:rPr>
      </w:pPr>
      <w:bookmarkStart w:id="10" w:name="_Toc42488076"/>
      <w:r w:rsidRPr="001E4B15">
        <w:rPr>
          <w:lang w:val="en-IE"/>
        </w:rPr>
        <w:t>7</w:t>
      </w:r>
      <w:r w:rsidR="00E93182" w:rsidRPr="001E4B15">
        <w:rPr>
          <w:lang w:val="en-IE"/>
        </w:rPr>
        <w:tab/>
      </w:r>
      <w:r w:rsidR="0047783A" w:rsidRPr="001E4B15">
        <w:rPr>
          <w:lang w:val="en-IE"/>
        </w:rPr>
        <w:t>Lots</w:t>
      </w:r>
      <w:bookmarkEnd w:id="10"/>
    </w:p>
    <w:p w14:paraId="684D0204" w14:textId="3E967B76" w:rsidR="0047783A" w:rsidRPr="001E4B15" w:rsidRDefault="0047783A" w:rsidP="005567FC">
      <w:pPr>
        <w:ind w:left="567"/>
        <w:jc w:val="both"/>
        <w:rPr>
          <w:rFonts w:ascii="Times New Roman" w:hAnsi="Times New Roman"/>
          <w:sz w:val="22"/>
        </w:rPr>
      </w:pPr>
      <w:r w:rsidRPr="001E4B15">
        <w:rPr>
          <w:rFonts w:ascii="Times New Roman" w:hAnsi="Times New Roman"/>
          <w:sz w:val="22"/>
        </w:rPr>
        <w:t>This tender procedure is not divided into lots.</w:t>
      </w:r>
    </w:p>
    <w:p w14:paraId="6D535022" w14:textId="31EB6A91" w:rsidR="0047783A" w:rsidRPr="001E4B15" w:rsidRDefault="00A633C6" w:rsidP="00D45256">
      <w:pPr>
        <w:pStyle w:val="Heading1"/>
        <w:rPr>
          <w:lang w:val="en-IE"/>
        </w:rPr>
      </w:pPr>
      <w:bookmarkStart w:id="11" w:name="_Toc42488077"/>
      <w:r w:rsidRPr="001E4B15">
        <w:rPr>
          <w:lang w:val="en-IE"/>
        </w:rPr>
        <w:t>8</w:t>
      </w:r>
      <w:r w:rsidR="00E93182" w:rsidRPr="001E4B15">
        <w:rPr>
          <w:lang w:val="en-IE"/>
        </w:rPr>
        <w:tab/>
      </w:r>
      <w:r w:rsidR="0047783A" w:rsidRPr="001E4B15">
        <w:rPr>
          <w:lang w:val="en-IE"/>
        </w:rPr>
        <w:t>Period of validity</w:t>
      </w:r>
      <w:bookmarkEnd w:id="11"/>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will not be permitted to modify their tenders and they are bound to extend the validity of </w:t>
      </w:r>
      <w:r w:rsidRPr="00E82463">
        <w:rPr>
          <w:rFonts w:ascii="Times New Roman" w:hAnsi="Times New Roman"/>
          <w:sz w:val="22"/>
          <w:lang w:val="en-GB"/>
        </w:rPr>
        <w:lastRenderedPageBreak/>
        <w:t>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2" w:name="_Toc42488078"/>
      <w:bookmarkStart w:id="13" w:name="_Ref500330462"/>
      <w:r w:rsidRPr="00D45256">
        <w:rPr>
          <w:lang w:val="en-IE"/>
        </w:rPr>
        <w:t>9</w:t>
      </w:r>
      <w:r w:rsidR="00E93182" w:rsidRPr="00D45256">
        <w:rPr>
          <w:lang w:val="en-IE"/>
        </w:rPr>
        <w:tab/>
      </w:r>
      <w:r w:rsidR="0047783A" w:rsidRPr="00D45256">
        <w:rPr>
          <w:lang w:val="en-IE"/>
        </w:rPr>
        <w:t xml:space="preserve">Language of </w:t>
      </w:r>
      <w:bookmarkEnd w:id="12"/>
      <w:r w:rsidR="009A3A53" w:rsidRPr="00D45256">
        <w:rPr>
          <w:lang w:val="en-IE"/>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Heading1"/>
        <w:rPr>
          <w:lang w:val="en-IE"/>
        </w:rPr>
      </w:pPr>
      <w:bookmarkStart w:id="14" w:name="_Toc42488079"/>
      <w:r w:rsidRPr="00D45256">
        <w:rPr>
          <w:lang w:val="en-IE"/>
        </w:rPr>
        <w:t>10.</w:t>
      </w:r>
      <w:r w:rsidR="005A3D33" w:rsidRPr="00D45256">
        <w:rPr>
          <w:lang w:val="en-IE"/>
        </w:rPr>
        <w:tab/>
      </w:r>
      <w:r w:rsidR="0047783A" w:rsidRPr="00D45256">
        <w:rPr>
          <w:lang w:val="en-IE"/>
        </w:rPr>
        <w:t>Submission of tenders</w:t>
      </w:r>
      <w:bookmarkEnd w:id="14"/>
    </w:p>
    <w:p w14:paraId="6D76BC33" w14:textId="265E995B" w:rsidR="0047783A" w:rsidRDefault="0047783A" w:rsidP="005567FC">
      <w:pPr>
        <w:ind w:left="567" w:hanging="567"/>
        <w:rPr>
          <w:rFonts w:ascii="Times New Roman" w:hAnsi="Times New Roman"/>
          <w:sz w:val="22"/>
          <w:highlight w:val="lightGray"/>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p>
    <w:bookmarkEnd w:id="15"/>
    <w:p w14:paraId="2ADD2794" w14:textId="59A0EA8F" w:rsidR="005567FC" w:rsidRPr="001E4B15" w:rsidRDefault="005567FC" w:rsidP="005567FC">
      <w:pPr>
        <w:pStyle w:val="Blockquote"/>
        <w:keepNext/>
        <w:keepLines/>
        <w:spacing w:before="120" w:after="120"/>
        <w:jc w:val="center"/>
        <w:rPr>
          <w:rFonts w:ascii="Times New Roman" w:hAnsi="Times New Roman"/>
          <w:highlight w:val="yellow"/>
        </w:rPr>
      </w:pPr>
      <w:r w:rsidRPr="001E4B15">
        <w:rPr>
          <w:rFonts w:ascii="Times New Roman" w:hAnsi="Times New Roman"/>
          <w:b/>
          <w:sz w:val="22"/>
        </w:rPr>
        <w:t xml:space="preserve">City of Sombor </w:t>
      </w:r>
      <w:r w:rsidRPr="001E4B15">
        <w:rPr>
          <w:rFonts w:ascii="Times New Roman" w:hAnsi="Times New Roman"/>
          <w:b/>
          <w:sz w:val="22"/>
        </w:rPr>
        <w:br/>
        <w:t xml:space="preserve">1 </w:t>
      </w:r>
      <w:proofErr w:type="spellStart"/>
      <w:r w:rsidRPr="001E4B15">
        <w:rPr>
          <w:rFonts w:ascii="Times New Roman" w:hAnsi="Times New Roman"/>
          <w:b/>
          <w:sz w:val="22"/>
        </w:rPr>
        <w:t>Trg</w:t>
      </w:r>
      <w:proofErr w:type="spellEnd"/>
      <w:r w:rsidRPr="001E4B15">
        <w:rPr>
          <w:rFonts w:ascii="Times New Roman" w:hAnsi="Times New Roman"/>
          <w:b/>
          <w:sz w:val="22"/>
        </w:rPr>
        <w:t xml:space="preserve"> Cara </w:t>
      </w:r>
      <w:proofErr w:type="spellStart"/>
      <w:r w:rsidRPr="001E4B15">
        <w:rPr>
          <w:rFonts w:ascii="Times New Roman" w:hAnsi="Times New Roman"/>
          <w:b/>
          <w:sz w:val="22"/>
        </w:rPr>
        <w:t>Urosa</w:t>
      </w:r>
      <w:proofErr w:type="spellEnd"/>
      <w:r w:rsidRPr="001E4B15">
        <w:rPr>
          <w:rFonts w:ascii="Times New Roman" w:hAnsi="Times New Roman"/>
          <w:b/>
          <w:sz w:val="22"/>
        </w:rPr>
        <w:t>,</w:t>
      </w:r>
      <w:r w:rsidRPr="001E4B15">
        <w:rPr>
          <w:rFonts w:ascii="Times New Roman" w:hAnsi="Times New Roman"/>
          <w:b/>
          <w:sz w:val="22"/>
        </w:rPr>
        <w:br/>
        <w:t>Republic of Serbia</w:t>
      </w:r>
    </w:p>
    <w:p w14:paraId="0144184F" w14:textId="77777777" w:rsidR="005567FC" w:rsidRPr="001E4B15" w:rsidRDefault="005567FC" w:rsidP="005567FC">
      <w:pPr>
        <w:ind w:left="567"/>
        <w:jc w:val="both"/>
        <w:rPr>
          <w:rFonts w:ascii="Times New Roman" w:hAnsi="Times New Roman"/>
          <w:sz w:val="22"/>
        </w:rPr>
      </w:pPr>
      <w:r w:rsidRPr="001E4B15">
        <w:rPr>
          <w:rFonts w:ascii="Times New Roman" w:hAnsi="Times New Roman"/>
          <w:sz w:val="22"/>
        </w:rPr>
        <w:t xml:space="preserve">If the tenders are hand </w:t>
      </w:r>
      <w:proofErr w:type="gramStart"/>
      <w:r w:rsidRPr="001E4B15">
        <w:rPr>
          <w:rFonts w:ascii="Times New Roman" w:hAnsi="Times New Roman"/>
          <w:sz w:val="22"/>
        </w:rPr>
        <w:t>delivered</w:t>
      </w:r>
      <w:proofErr w:type="gramEnd"/>
      <w:r w:rsidRPr="001E4B15">
        <w:rPr>
          <w:rFonts w:ascii="Times New Roman" w:hAnsi="Times New Roman"/>
          <w:sz w:val="22"/>
        </w:rPr>
        <w:t xml:space="preserve"> they should be delivered to the following address:</w:t>
      </w:r>
    </w:p>
    <w:p w14:paraId="2C654360" w14:textId="1D284B7D" w:rsidR="005567FC" w:rsidRPr="001E4B15" w:rsidRDefault="005567FC" w:rsidP="005567FC">
      <w:pPr>
        <w:spacing w:before="0"/>
        <w:ind w:left="567"/>
        <w:jc w:val="center"/>
        <w:rPr>
          <w:rFonts w:ascii="Times New Roman" w:hAnsi="Times New Roman"/>
          <w:b/>
          <w:sz w:val="22"/>
        </w:rPr>
      </w:pPr>
      <w:r w:rsidRPr="001E4B15">
        <w:rPr>
          <w:rFonts w:ascii="Times New Roman" w:hAnsi="Times New Roman"/>
          <w:b/>
          <w:sz w:val="22"/>
        </w:rPr>
        <w:t xml:space="preserve">City of Sombor </w:t>
      </w:r>
      <w:r w:rsidRPr="001E4B15">
        <w:rPr>
          <w:rFonts w:ascii="Times New Roman" w:hAnsi="Times New Roman"/>
          <w:b/>
          <w:sz w:val="22"/>
        </w:rPr>
        <w:br/>
        <w:t xml:space="preserve">1 </w:t>
      </w:r>
      <w:proofErr w:type="spellStart"/>
      <w:r w:rsidRPr="001E4B15">
        <w:rPr>
          <w:rFonts w:ascii="Times New Roman" w:hAnsi="Times New Roman"/>
          <w:b/>
          <w:sz w:val="22"/>
        </w:rPr>
        <w:t>Trg</w:t>
      </w:r>
      <w:proofErr w:type="spellEnd"/>
      <w:r w:rsidRPr="001E4B15">
        <w:rPr>
          <w:rFonts w:ascii="Times New Roman" w:hAnsi="Times New Roman"/>
          <w:b/>
          <w:sz w:val="22"/>
        </w:rPr>
        <w:t xml:space="preserve"> Cara </w:t>
      </w:r>
      <w:proofErr w:type="spellStart"/>
      <w:r w:rsidRPr="001E4B15">
        <w:rPr>
          <w:rFonts w:ascii="Times New Roman" w:hAnsi="Times New Roman"/>
          <w:b/>
          <w:sz w:val="22"/>
        </w:rPr>
        <w:t>Urosa</w:t>
      </w:r>
      <w:proofErr w:type="spellEnd"/>
      <w:r w:rsidRPr="001E4B15">
        <w:rPr>
          <w:rFonts w:ascii="Times New Roman" w:hAnsi="Times New Roman"/>
          <w:b/>
          <w:sz w:val="22"/>
        </w:rPr>
        <w:t>,</w:t>
      </w:r>
      <w:r w:rsidRPr="001E4B15">
        <w:rPr>
          <w:rFonts w:ascii="Times New Roman" w:hAnsi="Times New Roman"/>
          <w:b/>
          <w:sz w:val="22"/>
        </w:rPr>
        <w:br/>
        <w:t>Republic of Serbia</w:t>
      </w:r>
    </w:p>
    <w:p w14:paraId="36A63825" w14:textId="453231F2" w:rsidR="000B013D" w:rsidRPr="001E4B15" w:rsidRDefault="005567FC" w:rsidP="005567FC">
      <w:pPr>
        <w:spacing w:before="0"/>
        <w:ind w:left="567"/>
        <w:jc w:val="center"/>
        <w:rPr>
          <w:rFonts w:ascii="Times New Roman" w:hAnsi="Times New Roman"/>
          <w:sz w:val="22"/>
        </w:rPr>
      </w:pPr>
      <w:r w:rsidRPr="001E4B15">
        <w:rPr>
          <w:rFonts w:ascii="Times New Roman" w:hAnsi="Times New Roman"/>
          <w:b/>
          <w:sz w:val="22"/>
        </w:rPr>
        <w:t>Opening hours: 08.00 to 15.00 CET</w:t>
      </w:r>
    </w:p>
    <w:p w14:paraId="1FC7BA45" w14:textId="77777777" w:rsidR="0047783A" w:rsidRPr="001E4B15" w:rsidRDefault="0047783A" w:rsidP="009956B4">
      <w:pPr>
        <w:ind w:left="567"/>
        <w:jc w:val="both"/>
        <w:rPr>
          <w:rFonts w:ascii="Times New Roman" w:hAnsi="Times New Roman"/>
          <w:sz w:val="22"/>
        </w:rPr>
      </w:pPr>
      <w:r w:rsidRPr="001E4B15">
        <w:rPr>
          <w:rFonts w:ascii="Times New Roman" w:hAnsi="Times New Roman"/>
          <w:sz w:val="22"/>
        </w:rPr>
        <w:t>Tenders must comply with the following conditions:</w:t>
      </w:r>
    </w:p>
    <w:p w14:paraId="43197999" w14:textId="77777777" w:rsidR="003C18B5" w:rsidRPr="00E82463" w:rsidRDefault="003C18B5" w:rsidP="003C18B5">
      <w:pPr>
        <w:ind w:left="567" w:hanging="567"/>
        <w:rPr>
          <w:rFonts w:ascii="Times New Roman" w:hAnsi="Times New Roman"/>
        </w:rPr>
      </w:pPr>
      <w:r w:rsidRPr="00E82463">
        <w:rPr>
          <w:rFonts w:ascii="Times New Roman" w:hAnsi="Times New Roman"/>
          <w:sz w:val="22"/>
        </w:rPr>
        <w:t>10.</w:t>
      </w:r>
      <w:r>
        <w:rPr>
          <w:rFonts w:ascii="Times New Roman" w:hAnsi="Times New Roman"/>
          <w:sz w:val="22"/>
        </w:rPr>
        <w:t>2</w:t>
      </w:r>
      <w:r w:rsidRPr="00E82463">
        <w:rPr>
          <w:rFonts w:ascii="Times New Roman" w:hAnsi="Times New Roman"/>
          <w:sz w:val="22"/>
        </w:rPr>
        <w:tab/>
      </w:r>
      <w:r w:rsidRPr="00D838AE">
        <w:rPr>
          <w:rFonts w:ascii="Times New Roman" w:hAnsi="Times New Roman"/>
          <w:sz w:val="22"/>
        </w:rPr>
        <w:t>All tenders must be submitted in one original, marked ‘original’, and 1 (with double side printing) copies signed in the same way as the original and marked ‘copy’.</w:t>
      </w:r>
    </w:p>
    <w:p w14:paraId="435ACC62" w14:textId="77777777" w:rsidR="003C18B5" w:rsidRPr="00D838AE" w:rsidRDefault="003C18B5" w:rsidP="003C18B5">
      <w:pPr>
        <w:pStyle w:val="Heading2"/>
        <w:ind w:left="567" w:hanging="567"/>
        <w:jc w:val="both"/>
        <w:rPr>
          <w:rFonts w:ascii="Times New Roman" w:hAnsi="Times New Roman"/>
          <w:sz w:val="22"/>
          <w:lang w:val="en-GB"/>
        </w:rPr>
      </w:pPr>
      <w:r w:rsidRPr="00D838AE">
        <w:rPr>
          <w:rFonts w:ascii="Times New Roman" w:hAnsi="Times New Roman"/>
          <w:sz w:val="22"/>
          <w:lang w:val="en-GB"/>
        </w:rPr>
        <w:t>10.3</w:t>
      </w:r>
      <w:r w:rsidRPr="00D838AE">
        <w:rPr>
          <w:rFonts w:ascii="Times New Roman" w:hAnsi="Times New Roman"/>
          <w:sz w:val="22"/>
          <w:lang w:val="en-GB"/>
        </w:rPr>
        <w:tab/>
        <w:t>The tenders should be submitted:</w:t>
      </w:r>
    </w:p>
    <w:p w14:paraId="0D5F915D" w14:textId="77777777" w:rsidR="003C18B5" w:rsidRPr="00D838AE" w:rsidRDefault="003C18B5" w:rsidP="003C18B5">
      <w:pPr>
        <w:pStyle w:val="Heading2"/>
        <w:ind w:left="1134" w:hanging="567"/>
        <w:jc w:val="both"/>
        <w:rPr>
          <w:rFonts w:ascii="Times New Roman" w:hAnsi="Times New Roman"/>
          <w:sz w:val="22"/>
          <w:lang w:val="en-GB"/>
        </w:rPr>
      </w:pPr>
      <w:r w:rsidRPr="00D838AE">
        <w:rPr>
          <w:rFonts w:ascii="Times New Roman" w:hAnsi="Times New Roman"/>
          <w:sz w:val="22"/>
          <w:lang w:val="en-GB"/>
        </w:rPr>
        <w:t>(a)</w:t>
      </w:r>
      <w:r w:rsidRPr="00D838AE">
        <w:rPr>
          <w:rFonts w:ascii="Times New Roman" w:hAnsi="Times New Roman"/>
          <w:sz w:val="22"/>
          <w:lang w:val="en-GB"/>
        </w:rPr>
        <w:tab/>
        <w:t>either by post or by courier service, in which case the evidence shall be constituted by the postmark or the date of the deposit slip</w:t>
      </w:r>
      <w:r w:rsidRPr="00D838AE">
        <w:rPr>
          <w:rStyle w:val="FootnoteReference"/>
          <w:rFonts w:ascii="Times New Roman" w:hAnsi="Times New Roman"/>
          <w:sz w:val="22"/>
          <w:szCs w:val="22"/>
          <w:lang w:val="en-US"/>
        </w:rPr>
        <w:footnoteReference w:id="4"/>
      </w:r>
    </w:p>
    <w:p w14:paraId="26585462" w14:textId="77777777" w:rsidR="003C18B5" w:rsidRPr="00D838AE" w:rsidRDefault="003C18B5" w:rsidP="003C18B5">
      <w:pPr>
        <w:pStyle w:val="Heading2"/>
        <w:ind w:left="1134" w:hanging="567"/>
        <w:jc w:val="both"/>
        <w:rPr>
          <w:rFonts w:ascii="Times New Roman" w:hAnsi="Times New Roman"/>
          <w:sz w:val="22"/>
          <w:lang w:val="en-GB"/>
        </w:rPr>
      </w:pPr>
      <w:r w:rsidRPr="00D838AE">
        <w:rPr>
          <w:rFonts w:ascii="Times New Roman" w:hAnsi="Times New Roman"/>
          <w:sz w:val="22"/>
          <w:lang w:val="en-GB"/>
        </w:rPr>
        <w:t>(b)</w:t>
      </w:r>
      <w:r w:rsidRPr="00D838AE">
        <w:rPr>
          <w:rFonts w:ascii="Times New Roman" w:hAnsi="Times New Roman"/>
          <w:sz w:val="22"/>
          <w:lang w:val="en-GB"/>
        </w:rPr>
        <w:tab/>
        <w:t xml:space="preserve">or by hand-delivery to the premises of the contracting authority by the participant in person or by an agent, in which case the evidence shall be constituted by the acknowledgment of receipt. </w:t>
      </w:r>
    </w:p>
    <w:p w14:paraId="25AA04E7" w14:textId="77777777" w:rsidR="003C18B5" w:rsidRPr="00D838AE" w:rsidRDefault="003C18B5" w:rsidP="003C18B5">
      <w:pPr>
        <w:pStyle w:val="Heading2"/>
        <w:keepNext w:val="0"/>
        <w:ind w:left="567"/>
        <w:jc w:val="both"/>
        <w:rPr>
          <w:rFonts w:ascii="Times New Roman" w:hAnsi="Times New Roman"/>
          <w:sz w:val="22"/>
          <w:lang w:val="en-IE"/>
        </w:rPr>
      </w:pPr>
      <w:r w:rsidRPr="00D838AE">
        <w:rPr>
          <w:rFonts w:ascii="Times New Roman" w:hAnsi="Times New Roman"/>
          <w:sz w:val="22"/>
          <w:lang w:val="en-GB"/>
        </w:rPr>
        <w:t xml:space="preserve">The contracting authority may, for reasons of administrative efficiency, reject any application or tender submitted on time to the postal service but received, for any reason </w:t>
      </w:r>
      <w:r w:rsidRPr="00D838AE">
        <w:rPr>
          <w:rFonts w:ascii="Times New Roman" w:hAnsi="Times New Roman"/>
          <w:sz w:val="22"/>
          <w:lang w:val="en-GB"/>
        </w:rPr>
        <w:lastRenderedPageBreak/>
        <w:t>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068AC878" w14:textId="77777777" w:rsidR="003C18B5" w:rsidRPr="00D838AE" w:rsidRDefault="003C18B5" w:rsidP="003C18B5">
      <w:pPr>
        <w:pStyle w:val="Heading2"/>
        <w:keepNext w:val="0"/>
        <w:ind w:left="567" w:hanging="567"/>
        <w:jc w:val="both"/>
        <w:rPr>
          <w:rFonts w:ascii="Times New Roman" w:hAnsi="Times New Roman"/>
          <w:sz w:val="22"/>
          <w:lang w:val="en-IE"/>
        </w:rPr>
      </w:pPr>
      <w:r w:rsidRPr="00D838AE">
        <w:rPr>
          <w:rFonts w:ascii="Times New Roman" w:hAnsi="Times New Roman"/>
          <w:sz w:val="22"/>
          <w:lang w:val="en-GB"/>
        </w:rPr>
        <w:t>10.4</w:t>
      </w:r>
      <w:r w:rsidRPr="00D838AE">
        <w:rPr>
          <w:rFonts w:ascii="Times New Roman" w:hAnsi="Times New Roman"/>
          <w:sz w:val="22"/>
          <w:lang w:val="en-GB"/>
        </w:rPr>
        <w:tab/>
        <w:t>All tenders, including annexes and all supporting documents, must be submitted in a sealed envelope bearing only:</w:t>
      </w:r>
    </w:p>
    <w:p w14:paraId="15396010" w14:textId="77777777" w:rsidR="003C18B5" w:rsidRPr="00D838AE" w:rsidRDefault="003C18B5" w:rsidP="003C18B5">
      <w:pPr>
        <w:pStyle w:val="Heading2"/>
        <w:keepNext w:val="0"/>
        <w:ind w:left="1134" w:hanging="283"/>
        <w:jc w:val="both"/>
        <w:rPr>
          <w:rFonts w:ascii="Times New Roman" w:hAnsi="Times New Roman"/>
          <w:sz w:val="22"/>
          <w:lang w:val="en-IE"/>
        </w:rPr>
      </w:pPr>
      <w:r w:rsidRPr="00D838AE">
        <w:rPr>
          <w:rFonts w:ascii="Times New Roman" w:hAnsi="Times New Roman"/>
          <w:sz w:val="22"/>
          <w:lang w:val="en-GB"/>
        </w:rPr>
        <w:t>a)</w:t>
      </w:r>
      <w:r w:rsidRPr="00D838AE">
        <w:rPr>
          <w:rFonts w:ascii="Times New Roman" w:hAnsi="Times New Roman"/>
          <w:sz w:val="22"/>
          <w:lang w:val="en-GB"/>
        </w:rPr>
        <w:tab/>
        <w:t xml:space="preserve">the above </w:t>
      </w:r>
      <w:proofErr w:type="gramStart"/>
      <w:r w:rsidRPr="00D838AE">
        <w:rPr>
          <w:rFonts w:ascii="Times New Roman" w:hAnsi="Times New Roman"/>
          <w:sz w:val="22"/>
          <w:lang w:val="en-GB"/>
        </w:rPr>
        <w:t>address;</w:t>
      </w:r>
      <w:proofErr w:type="gramEnd"/>
    </w:p>
    <w:p w14:paraId="55270FB1" w14:textId="5908C342" w:rsidR="003C18B5" w:rsidRPr="00555689" w:rsidRDefault="003C18B5" w:rsidP="003C18B5">
      <w:pPr>
        <w:pStyle w:val="Heading2"/>
        <w:keepNext w:val="0"/>
        <w:ind w:left="1134" w:hanging="283"/>
        <w:jc w:val="both"/>
        <w:rPr>
          <w:rFonts w:ascii="Times New Roman" w:hAnsi="Times New Roman"/>
          <w:sz w:val="22"/>
          <w:lang w:val="en-IE"/>
        </w:rPr>
      </w:pPr>
      <w:r w:rsidRPr="00555689">
        <w:rPr>
          <w:rFonts w:ascii="Times New Roman" w:hAnsi="Times New Roman"/>
          <w:sz w:val="22"/>
          <w:lang w:val="en-GB"/>
        </w:rPr>
        <w:t>b)</w:t>
      </w:r>
      <w:r w:rsidRPr="00555689">
        <w:rPr>
          <w:rFonts w:ascii="Times New Roman" w:hAnsi="Times New Roman"/>
          <w:sz w:val="22"/>
          <w:lang w:val="en-GB"/>
        </w:rPr>
        <w:tab/>
        <w:t>the reference code of this tender procedure, (HR-RS00158/CREATEGREEN/City of Sombor/02</w:t>
      </w:r>
      <w:proofErr w:type="gramStart"/>
      <w:r w:rsidRPr="00555689">
        <w:rPr>
          <w:rFonts w:ascii="Times New Roman" w:hAnsi="Times New Roman"/>
          <w:sz w:val="22"/>
          <w:lang w:val="en-GB"/>
        </w:rPr>
        <w:t>);</w:t>
      </w:r>
      <w:proofErr w:type="gramEnd"/>
    </w:p>
    <w:p w14:paraId="5691D6E3" w14:textId="77777777" w:rsidR="003C18B5" w:rsidRPr="00D838AE" w:rsidRDefault="003C18B5" w:rsidP="003C18B5">
      <w:pPr>
        <w:pStyle w:val="Heading2"/>
        <w:keepNext w:val="0"/>
        <w:ind w:left="1134" w:hanging="283"/>
        <w:jc w:val="both"/>
        <w:rPr>
          <w:rFonts w:ascii="Times New Roman" w:hAnsi="Times New Roman"/>
          <w:sz w:val="22"/>
          <w:lang w:val="en-IE"/>
        </w:rPr>
      </w:pPr>
      <w:r w:rsidRPr="00D838AE">
        <w:rPr>
          <w:rFonts w:ascii="Times New Roman" w:hAnsi="Times New Roman"/>
          <w:sz w:val="22"/>
          <w:lang w:val="en-GB"/>
        </w:rPr>
        <w:t>c)</w:t>
      </w:r>
      <w:r w:rsidRPr="00D838AE">
        <w:rPr>
          <w:rFonts w:ascii="Times New Roman" w:hAnsi="Times New Roman"/>
          <w:sz w:val="22"/>
          <w:lang w:val="en-GB"/>
        </w:rPr>
        <w:tab/>
        <w:t xml:space="preserve">where applicable, the number of the lot(s) tendered </w:t>
      </w:r>
      <w:proofErr w:type="gramStart"/>
      <w:r w:rsidRPr="00D838AE">
        <w:rPr>
          <w:rFonts w:ascii="Times New Roman" w:hAnsi="Times New Roman"/>
          <w:sz w:val="22"/>
          <w:lang w:val="en-GB"/>
        </w:rPr>
        <w:t>for;</w:t>
      </w:r>
      <w:proofErr w:type="gramEnd"/>
    </w:p>
    <w:p w14:paraId="33ED9749" w14:textId="77777777" w:rsidR="003C18B5" w:rsidRPr="009956B4" w:rsidRDefault="003C18B5" w:rsidP="003C18B5">
      <w:pPr>
        <w:pStyle w:val="Heading2"/>
        <w:keepNext w:val="0"/>
        <w:ind w:left="1134" w:hanging="283"/>
        <w:jc w:val="both"/>
        <w:rPr>
          <w:rFonts w:ascii="Times New Roman" w:hAnsi="Times New Roman"/>
          <w:sz w:val="22"/>
          <w:lang w:val="en-IE"/>
        </w:rPr>
      </w:pPr>
      <w:r w:rsidRPr="00D838AE">
        <w:rPr>
          <w:rFonts w:ascii="Times New Roman" w:hAnsi="Times New Roman"/>
          <w:sz w:val="22"/>
          <w:lang w:val="en-GB"/>
        </w:rPr>
        <w:t>d)</w:t>
      </w:r>
      <w:r w:rsidRPr="00D838AE">
        <w:rPr>
          <w:rFonts w:ascii="Times New Roman" w:hAnsi="Times New Roman"/>
          <w:sz w:val="22"/>
          <w:lang w:val="en-GB"/>
        </w:rPr>
        <w:tab/>
        <w:t xml:space="preserve">the words </w:t>
      </w:r>
      <w:r w:rsidRPr="00D838AE">
        <w:rPr>
          <w:rFonts w:ascii="Times New Roman" w:hAnsi="Times New Roman"/>
          <w:b/>
          <w:bCs/>
          <w:sz w:val="22"/>
          <w:lang w:val="en-GB"/>
        </w:rPr>
        <w:t>‘Not to be opened before the tender opening session’</w:t>
      </w:r>
      <w:r w:rsidRPr="00D838AE">
        <w:rPr>
          <w:rFonts w:ascii="Times New Roman" w:hAnsi="Times New Roman"/>
          <w:sz w:val="22"/>
          <w:lang w:val="en-GB"/>
        </w:rPr>
        <w:t xml:space="preserve"> in the language of the tender dossier and</w:t>
      </w:r>
      <w:r w:rsidRPr="00D838AE">
        <w:rPr>
          <w:rFonts w:ascii="Times New Roman" w:hAnsi="Times New Roman"/>
          <w:sz w:val="22"/>
          <w:lang w:val="en-IE"/>
        </w:rPr>
        <w:t xml:space="preserve"> </w:t>
      </w:r>
      <w:r>
        <w:rPr>
          <w:rFonts w:ascii="Times New Roman" w:hAnsi="Times New Roman"/>
          <w:sz w:val="22"/>
          <w:lang w:val="en-IE"/>
        </w:rPr>
        <w:t>“</w:t>
      </w:r>
      <w:r w:rsidRPr="002C3CE3">
        <w:rPr>
          <w:rFonts w:ascii="Times New Roman" w:hAnsi="Times New Roman"/>
          <w:b/>
          <w:sz w:val="22"/>
        </w:rPr>
        <w:t xml:space="preserve">Ne </w:t>
      </w:r>
      <w:proofErr w:type="spellStart"/>
      <w:r w:rsidRPr="002C3CE3">
        <w:rPr>
          <w:rFonts w:ascii="Times New Roman" w:hAnsi="Times New Roman"/>
          <w:b/>
          <w:sz w:val="22"/>
        </w:rPr>
        <w:t>otvarati</w:t>
      </w:r>
      <w:proofErr w:type="spellEnd"/>
      <w:r w:rsidRPr="002C3CE3">
        <w:rPr>
          <w:rFonts w:ascii="Times New Roman" w:hAnsi="Times New Roman"/>
          <w:b/>
          <w:sz w:val="22"/>
        </w:rPr>
        <w:t xml:space="preserve"> pre </w:t>
      </w:r>
      <w:proofErr w:type="spellStart"/>
      <w:r w:rsidRPr="002C3CE3">
        <w:rPr>
          <w:rFonts w:ascii="Times New Roman" w:hAnsi="Times New Roman"/>
          <w:b/>
          <w:sz w:val="22"/>
        </w:rPr>
        <w:t>roka</w:t>
      </w:r>
      <w:proofErr w:type="spellEnd"/>
      <w:r w:rsidRPr="002C3CE3">
        <w:rPr>
          <w:rFonts w:ascii="Times New Roman" w:hAnsi="Times New Roman"/>
          <w:b/>
          <w:sz w:val="22"/>
        </w:rPr>
        <w:t xml:space="preserve"> </w:t>
      </w:r>
      <w:proofErr w:type="spellStart"/>
      <w:r w:rsidRPr="002C3CE3">
        <w:rPr>
          <w:rFonts w:ascii="Times New Roman" w:hAnsi="Times New Roman"/>
          <w:b/>
          <w:sz w:val="22"/>
        </w:rPr>
        <w:t>predvidjenog</w:t>
      </w:r>
      <w:proofErr w:type="spellEnd"/>
      <w:r w:rsidRPr="002C3CE3">
        <w:rPr>
          <w:rFonts w:ascii="Times New Roman" w:hAnsi="Times New Roman"/>
          <w:b/>
          <w:sz w:val="22"/>
        </w:rPr>
        <w:t xml:space="preserve"> </w:t>
      </w:r>
      <w:proofErr w:type="spellStart"/>
      <w:r w:rsidRPr="002C3CE3">
        <w:rPr>
          <w:rFonts w:ascii="Times New Roman" w:hAnsi="Times New Roman"/>
          <w:b/>
          <w:sz w:val="22"/>
        </w:rPr>
        <w:t>za</w:t>
      </w:r>
      <w:proofErr w:type="spellEnd"/>
      <w:r w:rsidRPr="002C3CE3">
        <w:rPr>
          <w:rFonts w:ascii="Times New Roman" w:hAnsi="Times New Roman"/>
          <w:b/>
          <w:sz w:val="22"/>
        </w:rPr>
        <w:t xml:space="preserve"> </w:t>
      </w:r>
      <w:proofErr w:type="spellStart"/>
      <w:r w:rsidRPr="002C3CE3">
        <w:rPr>
          <w:rFonts w:ascii="Times New Roman" w:hAnsi="Times New Roman"/>
          <w:b/>
          <w:sz w:val="22"/>
        </w:rPr>
        <w:t>otvaranje</w:t>
      </w:r>
      <w:proofErr w:type="spellEnd"/>
      <w:r w:rsidRPr="002C3CE3">
        <w:rPr>
          <w:rFonts w:ascii="Times New Roman" w:hAnsi="Times New Roman"/>
          <w:b/>
          <w:sz w:val="22"/>
        </w:rPr>
        <w:t xml:space="preserve"> </w:t>
      </w:r>
      <w:proofErr w:type="spellStart"/>
      <w:r w:rsidRPr="002C3CE3">
        <w:rPr>
          <w:rFonts w:ascii="Times New Roman" w:hAnsi="Times New Roman"/>
          <w:b/>
          <w:sz w:val="22"/>
        </w:rPr>
        <w:t>tendera</w:t>
      </w:r>
      <w:proofErr w:type="spellEnd"/>
      <w:r>
        <w:rPr>
          <w:rFonts w:ascii="Times New Roman" w:hAnsi="Times New Roman"/>
          <w:sz w:val="22"/>
          <w:lang w:val="en-IE"/>
        </w:rPr>
        <w:t>“</w:t>
      </w:r>
      <w:r w:rsidRPr="00D838AE">
        <w:rPr>
          <w:rFonts w:ascii="Times New Roman" w:hAnsi="Times New Roman"/>
          <w:sz w:val="22"/>
          <w:lang w:val="en-IE"/>
        </w:rPr>
        <w:t>.</w:t>
      </w:r>
    </w:p>
    <w:p w14:paraId="3CD196AC" w14:textId="77777777" w:rsidR="003C18B5" w:rsidRPr="00D56BCC" w:rsidRDefault="003C18B5" w:rsidP="003C18B5">
      <w:pPr>
        <w:pStyle w:val="Heading2"/>
        <w:keepNext w:val="0"/>
        <w:ind w:left="1134" w:hanging="283"/>
        <w:jc w:val="both"/>
        <w:rPr>
          <w:rFonts w:ascii="Times New Roman" w:hAnsi="Times New Roman"/>
          <w:sz w:val="22"/>
          <w:lang w:val="en-IE"/>
        </w:rPr>
      </w:pPr>
      <w:r w:rsidRPr="00D56BCC">
        <w:rPr>
          <w:rFonts w:ascii="Times New Roman" w:hAnsi="Times New Roman"/>
          <w:sz w:val="22"/>
          <w:lang w:val="en-GB"/>
        </w:rPr>
        <w:t>e)</w:t>
      </w:r>
      <w:r w:rsidRPr="00D56BCC">
        <w:rPr>
          <w:rFonts w:ascii="Times New Roman" w:hAnsi="Times New Roman"/>
          <w:sz w:val="22"/>
          <w:lang w:val="en-GB"/>
        </w:rPr>
        <w:tab/>
        <w:t>the name of the tenderer.</w:t>
      </w:r>
    </w:p>
    <w:p w14:paraId="4F8E2571" w14:textId="77777777" w:rsidR="003C18B5" w:rsidRPr="00D56BCC" w:rsidRDefault="003C18B5" w:rsidP="003C18B5">
      <w:pPr>
        <w:pStyle w:val="Heading2"/>
        <w:keepNext w:val="0"/>
        <w:ind w:left="567"/>
        <w:jc w:val="both"/>
        <w:rPr>
          <w:rFonts w:ascii="Times New Roman" w:hAnsi="Times New Roman"/>
          <w:sz w:val="22"/>
          <w:lang w:val="en-GB"/>
        </w:rPr>
      </w:pPr>
      <w:bookmarkStart w:id="16" w:name="_Hlk168671040"/>
      <w:r w:rsidRPr="00D56BCC">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bookmarkEnd w:id="16"/>
    <w:p w14:paraId="4D80F7F0" w14:textId="11E70F74" w:rsidR="00EC67B1" w:rsidRPr="00D45256" w:rsidRDefault="00EC67B1" w:rsidP="00D45256">
      <w:pPr>
        <w:spacing w:before="0"/>
        <w:ind w:left="567"/>
        <w:jc w:val="both"/>
        <w:rPr>
          <w:rFonts w:ascii="Times New Roman" w:hAnsi="Times New Roman"/>
          <w:sz w:val="22"/>
        </w:rPr>
      </w:pPr>
      <w:r w:rsidRPr="003C18B5">
        <w:rPr>
          <w:rFonts w:ascii="Times New Roman" w:hAnsi="Times New Roman"/>
          <w:sz w:val="22"/>
        </w:rPr>
        <w:t>only be sent to the contracting authority upon request.</w:t>
      </w:r>
    </w:p>
    <w:p w14:paraId="5D07CC26" w14:textId="4688DDE7" w:rsidR="0047783A" w:rsidRPr="00D45256" w:rsidRDefault="00A633C6" w:rsidP="00D45256">
      <w:pPr>
        <w:pStyle w:val="Heading1"/>
        <w:rPr>
          <w:lang w:val="en-IE"/>
        </w:rPr>
      </w:pPr>
      <w:bookmarkStart w:id="17" w:name="_Toc42488080"/>
      <w:r w:rsidRPr="00D45256">
        <w:rPr>
          <w:lang w:val="en-IE"/>
        </w:rPr>
        <w:t>11.</w:t>
      </w:r>
      <w:r w:rsidR="005A3D33" w:rsidRPr="00D45256">
        <w:rPr>
          <w:lang w:val="en-IE"/>
        </w:rPr>
        <w:tab/>
      </w:r>
      <w:r w:rsidR="0047783A" w:rsidRPr="00D45256">
        <w:rPr>
          <w:lang w:val="en-IE"/>
        </w:rPr>
        <w:t>Content of tenders</w:t>
      </w:r>
      <w:bookmarkEnd w:id="17"/>
    </w:p>
    <w:p w14:paraId="269D25E4" w14:textId="77777777" w:rsidR="003C18B5" w:rsidRPr="00E82463" w:rsidRDefault="003C18B5" w:rsidP="003C18B5">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Pr="00E82463">
        <w:rPr>
          <w:rFonts w:ascii="Times New Roman" w:hAnsi="Times New Roman"/>
          <w:sz w:val="22"/>
          <w:szCs w:val="22"/>
        </w:rPr>
        <w:t>All tenders submitted must comply with the requirements in the tender dossier and comprise:</w:t>
      </w:r>
    </w:p>
    <w:p w14:paraId="75C36781" w14:textId="77777777" w:rsidR="003C18B5" w:rsidRPr="00E82463" w:rsidRDefault="003C18B5" w:rsidP="003C18B5">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466AB3C" w14:textId="77777777" w:rsidR="003C18B5" w:rsidRPr="00EB6043" w:rsidRDefault="003C18B5" w:rsidP="003C18B5">
      <w:pPr>
        <w:numPr>
          <w:ilvl w:val="0"/>
          <w:numId w:val="6"/>
        </w:numPr>
        <w:tabs>
          <w:tab w:val="clear" w:pos="786"/>
          <w:tab w:val="num" w:pos="1211"/>
        </w:tabs>
        <w:spacing w:before="0" w:after="0"/>
        <w:ind w:left="1208" w:hanging="357"/>
        <w:jc w:val="both"/>
      </w:pPr>
      <w:r w:rsidRPr="00EB6043">
        <w:rPr>
          <w:rFonts w:ascii="Times New Roman" w:hAnsi="Times New Roman"/>
          <w:sz w:val="22"/>
          <w:szCs w:val="22"/>
        </w:rPr>
        <w:t>A detailed description of the supplies tendered in conformity with the technical specifications, including all documents required by the technical specifications.</w:t>
      </w:r>
    </w:p>
    <w:p w14:paraId="51C401E0" w14:textId="77777777" w:rsidR="003C18B5" w:rsidRPr="00EB6043" w:rsidRDefault="003C18B5" w:rsidP="003C18B5">
      <w:pPr>
        <w:numPr>
          <w:ilvl w:val="0"/>
          <w:numId w:val="6"/>
        </w:numPr>
        <w:tabs>
          <w:tab w:val="clear" w:pos="786"/>
          <w:tab w:val="num" w:pos="1211"/>
        </w:tabs>
        <w:spacing w:before="0" w:after="0"/>
        <w:ind w:left="1208" w:hanging="357"/>
        <w:rPr>
          <w:rFonts w:ascii="Times New Roman" w:hAnsi="Times New Roman"/>
          <w:sz w:val="22"/>
          <w:szCs w:val="22"/>
        </w:rPr>
      </w:pPr>
      <w:r w:rsidRPr="00EB6043">
        <w:rPr>
          <w:rFonts w:ascii="Times New Roman" w:hAnsi="Times New Roman"/>
          <w:sz w:val="22"/>
          <w:szCs w:val="22"/>
        </w:rPr>
        <w:t>Recommended list of spare parts proposed by the producer.</w:t>
      </w:r>
    </w:p>
    <w:p w14:paraId="6788C97C" w14:textId="77777777" w:rsidR="003C18B5" w:rsidRPr="00E82463" w:rsidRDefault="003C18B5" w:rsidP="003C18B5">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05A69575" w14:textId="77777777" w:rsidR="003C18B5" w:rsidRPr="00E82463" w:rsidRDefault="003C18B5" w:rsidP="003C18B5">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2C06332" w14:textId="77777777" w:rsidR="003C18B5" w:rsidRPr="00D56BCC" w:rsidRDefault="003C18B5" w:rsidP="003C18B5">
      <w:pPr>
        <w:pStyle w:val="Heading2"/>
        <w:keepNext w:val="0"/>
        <w:numPr>
          <w:ilvl w:val="0"/>
          <w:numId w:val="6"/>
        </w:numPr>
        <w:tabs>
          <w:tab w:val="clear" w:pos="786"/>
          <w:tab w:val="num" w:pos="360"/>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w:t>
      </w:r>
      <w:r w:rsidRPr="00D56BCC">
        <w:rPr>
          <w:rFonts w:ascii="Times New Roman" w:hAnsi="Times New Roman"/>
          <w:sz w:val="22"/>
          <w:szCs w:val="22"/>
          <w:lang w:val="en-GB"/>
        </w:rPr>
        <w:t>offer calculated on a DDP</w:t>
      </w:r>
      <w:r w:rsidRPr="00D56BCC">
        <w:rPr>
          <w:rStyle w:val="FootnoteReference"/>
          <w:rFonts w:ascii="Times New Roman" w:hAnsi="Times New Roman"/>
        </w:rPr>
        <w:footnoteReference w:id="5"/>
      </w:r>
      <w:r w:rsidRPr="00D56BCC">
        <w:rPr>
          <w:rFonts w:ascii="Times New Roman" w:hAnsi="Times New Roman"/>
          <w:sz w:val="22"/>
          <w:szCs w:val="22"/>
          <w:lang w:val="en-GB"/>
        </w:rPr>
        <w:t xml:space="preserve"> basis for the supplies</w:t>
      </w:r>
      <w:r w:rsidRPr="00E82463">
        <w:rPr>
          <w:rFonts w:ascii="Times New Roman" w:hAnsi="Times New Roman"/>
          <w:sz w:val="22"/>
          <w:szCs w:val="22"/>
          <w:lang w:val="en-GB"/>
        </w:rPr>
        <w:t xml:space="preserve"> tendered</w:t>
      </w:r>
      <w:r>
        <w:rPr>
          <w:rFonts w:ascii="Times New Roman" w:hAnsi="Times New Roman"/>
          <w:sz w:val="22"/>
          <w:szCs w:val="22"/>
          <w:lang w:val="en-GB"/>
        </w:rPr>
        <w:t>.</w:t>
      </w:r>
    </w:p>
    <w:p w14:paraId="2A32AA9C" w14:textId="0AF49FDB" w:rsidR="00D85561" w:rsidRPr="003C18B5" w:rsidRDefault="003C18B5" w:rsidP="003C18B5">
      <w:pPr>
        <w:ind w:left="567"/>
        <w:jc w:val="both"/>
        <w:rPr>
          <w:b/>
          <w:sz w:val="22"/>
        </w:rPr>
      </w:pPr>
      <w:r w:rsidRPr="00E82463">
        <w:rPr>
          <w:rFonts w:ascii="Times New Roman" w:hAnsi="Times New Roman"/>
          <w:sz w:val="22"/>
          <w:szCs w:val="22"/>
        </w:rPr>
        <w:t xml:space="preserve">This financial offer should be presented as per template (Annex IV*, Budget breakdown), </w:t>
      </w:r>
      <w:r w:rsidRPr="00555689">
        <w:rPr>
          <w:rFonts w:ascii="Times New Roman" w:hAnsi="Times New Roman"/>
          <w:sz w:val="22"/>
          <w:szCs w:val="22"/>
        </w:rPr>
        <w:t xml:space="preserve">adding separate sheets for details if necessary. </w:t>
      </w:r>
      <w:r w:rsidRPr="00555689">
        <w:rPr>
          <w:rFonts w:ascii="Times New Roman" w:hAnsi="Times New Roman"/>
          <w:sz w:val="22"/>
          <w:szCs w:val="22"/>
          <w:lang w:val="en-IE"/>
        </w:rPr>
        <w:t>All amounts are to be quoted including taxes.</w:t>
      </w:r>
      <w:r w:rsidRPr="00180444">
        <w:rPr>
          <w:rFonts w:ascii="Times New Roman" w:hAnsi="Times New Roman"/>
          <w:sz w:val="22"/>
          <w:szCs w:val="22"/>
          <w:lang w:val="en-IE"/>
        </w:rPr>
        <w:t xml:space="preserve"> VAT</w:t>
      </w:r>
      <w:r>
        <w:rPr>
          <w:rFonts w:ascii="Times New Roman" w:hAnsi="Times New Roman"/>
          <w:sz w:val="22"/>
          <w:szCs w:val="22"/>
          <w:lang w:val="en-IE"/>
        </w:rPr>
        <w: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27B0DDCC" w14:textId="77777777" w:rsidR="003C18B5" w:rsidRPr="00E45107" w:rsidRDefault="003C18B5" w:rsidP="003C18B5">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To be supplied using the templates attached*:</w:t>
      </w:r>
    </w:p>
    <w:p w14:paraId="47399D0C" w14:textId="77777777" w:rsidR="003C18B5" w:rsidRPr="00F715D1" w:rsidRDefault="003C18B5" w:rsidP="003C18B5">
      <w:pPr>
        <w:pStyle w:val="Text1"/>
        <w:numPr>
          <w:ilvl w:val="0"/>
          <w:numId w:val="36"/>
        </w:numPr>
        <w:ind w:left="1134" w:hanging="425"/>
        <w:rPr>
          <w:sz w:val="22"/>
        </w:rPr>
      </w:pPr>
      <w:r w:rsidRPr="00E82463">
        <w:rPr>
          <w:sz w:val="22"/>
        </w:rPr>
        <w:t xml:space="preserve">The </w:t>
      </w:r>
      <w:r>
        <w:rPr>
          <w:sz w:val="22"/>
        </w:rPr>
        <w:t>"</w:t>
      </w:r>
      <w:r w:rsidRPr="00E82463">
        <w:rPr>
          <w:sz w:val="22"/>
        </w:rPr>
        <w:t xml:space="preserve">Tender </w:t>
      </w:r>
      <w:r>
        <w:rPr>
          <w:sz w:val="22"/>
        </w:rPr>
        <w:t>f</w:t>
      </w:r>
      <w:r w:rsidRPr="00E82463">
        <w:rPr>
          <w:sz w:val="22"/>
        </w:rPr>
        <w:t xml:space="preserve">orm for a </w:t>
      </w:r>
      <w:r>
        <w:rPr>
          <w:sz w:val="22"/>
        </w:rPr>
        <w:t>s</w:t>
      </w:r>
      <w:r w:rsidRPr="00E82463">
        <w:rPr>
          <w:sz w:val="22"/>
        </w:rPr>
        <w:t xml:space="preserve">upply </w:t>
      </w:r>
      <w:r>
        <w:rPr>
          <w:sz w:val="22"/>
        </w:rPr>
        <w:t>c</w:t>
      </w:r>
      <w:r w:rsidRPr="00E82463">
        <w:rPr>
          <w:sz w:val="22"/>
        </w:rPr>
        <w:t>ontract</w:t>
      </w:r>
      <w:r>
        <w:rPr>
          <w:sz w:val="22"/>
        </w:rPr>
        <w:t>"</w:t>
      </w:r>
      <w:r w:rsidRPr="00E82463">
        <w:rPr>
          <w:sz w:val="22"/>
        </w:rPr>
        <w:t xml:space="preserve">, </w:t>
      </w:r>
      <w:r w:rsidRPr="007A0C47">
        <w:rPr>
          <w:sz w:val="22"/>
        </w:rPr>
        <w:t xml:space="preserve">together with Annex 1 </w:t>
      </w:r>
      <w:r w:rsidRPr="001A2BC4">
        <w:rPr>
          <w:b/>
          <w:sz w:val="22"/>
        </w:rPr>
        <w:t>"Declaration on honour on exclusion criteria and selection criteria"</w:t>
      </w:r>
      <w:r w:rsidRPr="007A0C47">
        <w:rPr>
          <w:sz w:val="22"/>
        </w:rPr>
        <w:t xml:space="preserve">, both </w:t>
      </w:r>
      <w:r w:rsidRPr="00E82463">
        <w:rPr>
          <w:sz w:val="22"/>
        </w:rPr>
        <w:t>duly completed, which includes the</w:t>
      </w:r>
      <w:r>
        <w:rPr>
          <w:sz w:val="22"/>
          <w:u w:val="single"/>
        </w:rPr>
        <w:t xml:space="preserve"> </w:t>
      </w:r>
      <w:r w:rsidRPr="00E82463">
        <w:rPr>
          <w:sz w:val="22"/>
        </w:rPr>
        <w:t>tenderer’s declaration, point 7, (from each member if a consortium</w:t>
      </w:r>
      <w:r>
        <w:rPr>
          <w:sz w:val="22"/>
        </w:rPr>
        <w:t xml:space="preserve">, </w:t>
      </w:r>
      <w:r w:rsidRPr="003D2AC3">
        <w:rPr>
          <w:sz w:val="22"/>
        </w:rPr>
        <w:t>(if any)</w:t>
      </w:r>
      <w:r w:rsidRPr="00E82463">
        <w:rPr>
          <w:sz w:val="22"/>
        </w:rPr>
        <w:t>)</w:t>
      </w:r>
      <w:r>
        <w:rPr>
          <w:sz w:val="22"/>
        </w:rPr>
        <w:t>.</w:t>
      </w:r>
    </w:p>
    <w:p w14:paraId="084AA935" w14:textId="77777777" w:rsidR="003C18B5" w:rsidRPr="00F715D1" w:rsidRDefault="003C18B5" w:rsidP="003C18B5">
      <w:pPr>
        <w:pStyle w:val="Text1"/>
        <w:numPr>
          <w:ilvl w:val="0"/>
          <w:numId w:val="36"/>
        </w:numPr>
        <w:ind w:left="1134" w:hanging="425"/>
        <w:rPr>
          <w:sz w:val="22"/>
        </w:rPr>
      </w:pPr>
      <w:r w:rsidRPr="00F715D1">
        <w:rPr>
          <w:sz w:val="22"/>
        </w:rPr>
        <w:lastRenderedPageBreak/>
        <w:t>Signed originals of the Declaration on honour shall be submitted.</w:t>
      </w:r>
    </w:p>
    <w:p w14:paraId="334A138C" w14:textId="77777777" w:rsidR="003C18B5" w:rsidRDefault="003C18B5" w:rsidP="003C18B5">
      <w:pPr>
        <w:pStyle w:val="Text1"/>
        <w:numPr>
          <w:ilvl w:val="0"/>
          <w:numId w:val="36"/>
        </w:numPr>
        <w:ind w:left="1134" w:hanging="425"/>
        <w:rPr>
          <w:sz w:val="22"/>
        </w:rPr>
      </w:pPr>
      <w:r w:rsidRPr="00F715D1">
        <w:rPr>
          <w:sz w:val="22"/>
        </w:rPr>
        <w:t>A completed identification form (see Annex V to the draft contract) and supporting documents to the identification form.</w:t>
      </w:r>
    </w:p>
    <w:p w14:paraId="1BB26F61" w14:textId="77777777" w:rsidR="003C18B5" w:rsidRPr="00F715D1" w:rsidRDefault="003C18B5" w:rsidP="003C18B5">
      <w:pPr>
        <w:tabs>
          <w:tab w:val="left" w:pos="993"/>
        </w:tabs>
        <w:spacing w:after="0"/>
        <w:ind w:left="567"/>
        <w:rPr>
          <w:rFonts w:ascii="Times New Roman" w:hAnsi="Times New Roman"/>
          <w:sz w:val="22"/>
          <w:szCs w:val="22"/>
        </w:rPr>
      </w:pPr>
      <w:r w:rsidRPr="00F715D1">
        <w:rPr>
          <w:rFonts w:ascii="Times New Roman" w:hAnsi="Times New Roman"/>
          <w:sz w:val="22"/>
          <w:szCs w:val="22"/>
        </w:rPr>
        <w:t>To be supplied in free-text format:</w:t>
      </w:r>
    </w:p>
    <w:p w14:paraId="27678ED1" w14:textId="77777777" w:rsidR="003C18B5" w:rsidRPr="00F715D1" w:rsidRDefault="003C18B5" w:rsidP="003C18B5">
      <w:pPr>
        <w:pStyle w:val="Text1"/>
        <w:numPr>
          <w:ilvl w:val="0"/>
          <w:numId w:val="36"/>
        </w:numPr>
        <w:ind w:left="1134" w:hanging="425"/>
        <w:rPr>
          <w:sz w:val="22"/>
        </w:rPr>
      </w:pPr>
      <w:r w:rsidRPr="00F715D1">
        <w:rPr>
          <w:sz w:val="22"/>
        </w:rPr>
        <w:t>A description of the warranty conditions, which must be in accordance with the conditions laid down in Article 32 of the general conditions</w:t>
      </w:r>
      <w:r w:rsidRPr="00F715D1">
        <w:rPr>
          <w:color w:val="339966"/>
          <w:sz w:val="22"/>
          <w:u w:val="single"/>
        </w:rPr>
        <w:t>.</w:t>
      </w:r>
    </w:p>
    <w:p w14:paraId="4ADEB2B4" w14:textId="77777777" w:rsidR="003C18B5" w:rsidRPr="00EB6043" w:rsidRDefault="003C18B5" w:rsidP="003C18B5">
      <w:pPr>
        <w:pStyle w:val="Text1"/>
        <w:numPr>
          <w:ilvl w:val="0"/>
          <w:numId w:val="36"/>
        </w:numPr>
        <w:ind w:left="1134" w:hanging="425"/>
        <w:rPr>
          <w:sz w:val="22"/>
        </w:rPr>
      </w:pPr>
      <w:r w:rsidRPr="00EB6043">
        <w:rPr>
          <w:sz w:val="22"/>
        </w:rPr>
        <w:t>A description of the organisation of the commercial warranty tendered in accordance with the conditions laid down in Article 32 of the special conditions</w:t>
      </w:r>
      <w:r>
        <w:rPr>
          <w:sz w:val="22"/>
        </w:rPr>
        <w:t>.</w:t>
      </w:r>
    </w:p>
    <w:p w14:paraId="26B2ED4D" w14:textId="5C7A87DE" w:rsidR="0047783A" w:rsidRPr="00E82463" w:rsidRDefault="003C18B5" w:rsidP="003C18B5">
      <w:pPr>
        <w:pStyle w:val="Text1"/>
        <w:numPr>
          <w:ilvl w:val="0"/>
          <w:numId w:val="36"/>
        </w:numPr>
        <w:ind w:left="1134" w:hanging="425"/>
        <w:rPr>
          <w:sz w:val="22"/>
        </w:rPr>
      </w:pPr>
      <w:r w:rsidRPr="00E82463">
        <w:rPr>
          <w:sz w:val="22"/>
        </w:rPr>
        <w:t>Duly authorised signature: an official document (statutes, power of attorney, notary statement, etc.) proving that the person who signs on behalf of the company</w:t>
      </w:r>
      <w:r>
        <w:rPr>
          <w:sz w:val="22"/>
        </w:rPr>
        <w:t xml:space="preserve">, </w:t>
      </w:r>
      <w:r w:rsidRPr="00E82463">
        <w:rPr>
          <w:sz w:val="22"/>
        </w:rPr>
        <w:t>joint venture</w:t>
      </w:r>
      <w:r>
        <w:rPr>
          <w:sz w:val="22"/>
        </w:rPr>
        <w:t xml:space="preserve"> or </w:t>
      </w:r>
      <w:r w:rsidRPr="00E82463">
        <w:rPr>
          <w:sz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Heading1"/>
        <w:rPr>
          <w:lang w:val="en-IE"/>
        </w:rPr>
      </w:pPr>
      <w:bookmarkStart w:id="18"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28DADE4E" w14:textId="77777777" w:rsidR="00CE3FF3" w:rsidRPr="00555689" w:rsidRDefault="00CE3FF3" w:rsidP="00CE3FF3">
      <w:pPr>
        <w:pStyle w:val="Heading2"/>
        <w:tabs>
          <w:tab w:val="num" w:pos="567"/>
        </w:tabs>
        <w:ind w:left="567"/>
        <w:jc w:val="both"/>
        <w:rPr>
          <w:rFonts w:ascii="Times New Roman" w:hAnsi="Times New Roman"/>
          <w:sz w:val="22"/>
          <w:lang w:val="en-US"/>
        </w:rPr>
      </w:pPr>
      <w:r w:rsidRPr="00555689">
        <w:rPr>
          <w:rFonts w:ascii="Times New Roman" w:hAnsi="Times New Roman"/>
          <w:sz w:val="22"/>
          <w:lang w:val="en-US"/>
        </w:rPr>
        <w:t xml:space="preserve">Beneficiaries in Serbia are obliged to follow the relevant national procedure for </w:t>
      </w:r>
      <w:r w:rsidRPr="00555689">
        <w:rPr>
          <w:rFonts w:ascii="Times New Roman" w:hAnsi="Times New Roman"/>
          <w:b/>
          <w:bCs/>
          <w:sz w:val="22"/>
          <w:lang w:val="en-US"/>
        </w:rPr>
        <w:t>customs charges exemption</w:t>
      </w:r>
      <w:r w:rsidRPr="00555689">
        <w:rPr>
          <w:rFonts w:ascii="Times New Roman" w:hAnsi="Times New Roman"/>
          <w:sz w:val="22"/>
          <w:lang w:val="en-US"/>
        </w:rPr>
        <w:t xml:space="preserve">: the Regulation on the Conditions, Method, and Procedure for Exemption from Customs and Other Duties on the Import of Equipment (Official Gazette of the Republic of Serbia, No. 34/2019). Additional information on procedure in Serbia is provided on: https://www.paragraf.rs/propisi/o-uslovima-nacinu-postupku-oslobodjenja-od-carinskih-dazbina-na-uvoz-opreme.html </w:t>
      </w:r>
    </w:p>
    <w:p w14:paraId="390B8495" w14:textId="4924D210" w:rsidR="0047783A" w:rsidRPr="00555689" w:rsidRDefault="00CE3FF3" w:rsidP="00CE3FF3">
      <w:pPr>
        <w:pStyle w:val="Heading2"/>
        <w:keepNext w:val="0"/>
        <w:tabs>
          <w:tab w:val="num" w:pos="567"/>
        </w:tabs>
        <w:spacing w:before="0"/>
        <w:ind w:left="567"/>
        <w:jc w:val="both"/>
        <w:rPr>
          <w:rFonts w:ascii="Times New Roman" w:hAnsi="Times New Roman"/>
          <w:sz w:val="22"/>
          <w:lang w:val="en-GB"/>
        </w:rPr>
      </w:pPr>
      <w:r w:rsidRPr="00555689">
        <w:rPr>
          <w:rFonts w:ascii="Times New Roman" w:hAnsi="Times New Roman"/>
          <w:sz w:val="22"/>
          <w:lang w:val="en-US"/>
        </w:rPr>
        <w:t>Customs charges that are non-recoverable under national legislation can be eligible cost (if all other eligibility conditions are met</w:t>
      </w:r>
      <w:r w:rsidR="00555689" w:rsidRPr="00555689">
        <w:rPr>
          <w:rFonts w:ascii="Times New Roman" w:hAnsi="Times New Roman"/>
          <w:sz w:val="22"/>
          <w:lang w:val="en-US"/>
        </w:rPr>
        <w:t>.</w:t>
      </w:r>
    </w:p>
    <w:p w14:paraId="09EA0EDD" w14:textId="1D6F9E40" w:rsidR="0047783A" w:rsidRPr="00D45256" w:rsidRDefault="00A633C6" w:rsidP="00D45256">
      <w:pPr>
        <w:pStyle w:val="Heading1"/>
        <w:rPr>
          <w:lang w:val="en-IE"/>
        </w:rPr>
      </w:pPr>
      <w:bookmarkStart w:id="19" w:name="_Toc42488082"/>
      <w:r w:rsidRPr="00D45256">
        <w:rPr>
          <w:lang w:val="en-IE"/>
        </w:rPr>
        <w:t>13.</w:t>
      </w:r>
      <w:r w:rsidR="005A3D33" w:rsidRPr="00D45256">
        <w:rPr>
          <w:lang w:val="en-IE"/>
        </w:rPr>
        <w:tab/>
      </w:r>
      <w:r w:rsidR="0047783A" w:rsidRPr="00D45256">
        <w:rPr>
          <w:lang w:val="en-IE"/>
        </w:rPr>
        <w:t>Additional information before the deadline for submission of tenders</w:t>
      </w:r>
      <w:bookmarkEnd w:id="19"/>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37AB1A5A" w14:textId="0EEB4BAF" w:rsidR="00555689" w:rsidRPr="00555689" w:rsidRDefault="00555689" w:rsidP="00555689">
      <w:pPr>
        <w:pStyle w:val="BodyText"/>
        <w:ind w:left="567"/>
        <w:jc w:val="both"/>
        <w:rPr>
          <w:rFonts w:ascii="Times New Roman" w:hAnsi="Times New Roman"/>
          <w:sz w:val="22"/>
          <w:szCs w:val="22"/>
        </w:rPr>
      </w:pPr>
      <w:bookmarkStart w:id="20" w:name="_Hlk165985846"/>
      <w:r w:rsidRPr="00555689">
        <w:rPr>
          <w:rFonts w:ascii="Times New Roman" w:hAnsi="Times New Roman"/>
          <w:sz w:val="22"/>
          <w:szCs w:val="22"/>
        </w:rPr>
        <w:t>Tenderers may submit questions in writing to the following address up to 11.06.2025. (21 calendar days before the deadline for submission of tenders), specifying the publication reference HR-RS00158/CREATEGREEN/City of Sombor/02 and the contract title Purchase and Installation of Solar Power Plants:</w:t>
      </w:r>
    </w:p>
    <w:p w14:paraId="3A1EB3DB" w14:textId="77777777" w:rsidR="00555689" w:rsidRPr="00555689" w:rsidRDefault="00555689" w:rsidP="00555689">
      <w:pPr>
        <w:pStyle w:val="BodyText"/>
        <w:ind w:left="567"/>
        <w:jc w:val="both"/>
        <w:rPr>
          <w:rFonts w:ascii="Times New Roman" w:hAnsi="Times New Roman"/>
          <w:sz w:val="22"/>
          <w:szCs w:val="22"/>
        </w:rPr>
      </w:pPr>
      <w:r w:rsidRPr="00555689">
        <w:rPr>
          <w:rFonts w:ascii="Times New Roman" w:hAnsi="Times New Roman"/>
          <w:sz w:val="22"/>
          <w:szCs w:val="22"/>
        </w:rPr>
        <w:t>Contact person: Marijana Rilke</w:t>
      </w:r>
    </w:p>
    <w:p w14:paraId="46E6A523" w14:textId="77777777" w:rsidR="00555689" w:rsidRPr="00555689" w:rsidRDefault="00555689" w:rsidP="00555689">
      <w:pPr>
        <w:pStyle w:val="BodyText"/>
        <w:ind w:left="567"/>
        <w:jc w:val="both"/>
        <w:rPr>
          <w:rFonts w:ascii="Times New Roman" w:hAnsi="Times New Roman"/>
          <w:sz w:val="22"/>
          <w:szCs w:val="22"/>
        </w:rPr>
      </w:pPr>
      <w:r w:rsidRPr="00555689">
        <w:rPr>
          <w:rFonts w:ascii="Times New Roman" w:hAnsi="Times New Roman"/>
          <w:sz w:val="22"/>
          <w:szCs w:val="22"/>
        </w:rPr>
        <w:t xml:space="preserve">Address: City of Sombor, </w:t>
      </w:r>
      <w:proofErr w:type="spellStart"/>
      <w:r w:rsidRPr="00555689">
        <w:rPr>
          <w:rFonts w:ascii="Times New Roman" w:hAnsi="Times New Roman"/>
          <w:sz w:val="22"/>
          <w:szCs w:val="22"/>
        </w:rPr>
        <w:t>Trg</w:t>
      </w:r>
      <w:proofErr w:type="spellEnd"/>
      <w:r w:rsidRPr="00555689">
        <w:rPr>
          <w:rFonts w:ascii="Times New Roman" w:hAnsi="Times New Roman"/>
          <w:sz w:val="22"/>
          <w:szCs w:val="22"/>
        </w:rPr>
        <w:t xml:space="preserve"> </w:t>
      </w:r>
      <w:proofErr w:type="spellStart"/>
      <w:r w:rsidRPr="00555689">
        <w:rPr>
          <w:rFonts w:ascii="Times New Roman" w:hAnsi="Times New Roman"/>
          <w:sz w:val="22"/>
          <w:szCs w:val="22"/>
        </w:rPr>
        <w:t>cara</w:t>
      </w:r>
      <w:proofErr w:type="spellEnd"/>
      <w:r w:rsidRPr="00555689">
        <w:rPr>
          <w:rFonts w:ascii="Times New Roman" w:hAnsi="Times New Roman"/>
          <w:sz w:val="22"/>
          <w:szCs w:val="22"/>
        </w:rPr>
        <w:t xml:space="preserve"> </w:t>
      </w:r>
      <w:proofErr w:type="spellStart"/>
      <w:r w:rsidRPr="00555689">
        <w:rPr>
          <w:rFonts w:ascii="Times New Roman" w:hAnsi="Times New Roman"/>
          <w:sz w:val="22"/>
          <w:szCs w:val="22"/>
        </w:rPr>
        <w:t>Uroša</w:t>
      </w:r>
      <w:proofErr w:type="spellEnd"/>
      <w:r w:rsidRPr="00555689">
        <w:rPr>
          <w:rFonts w:ascii="Times New Roman" w:hAnsi="Times New Roman"/>
          <w:sz w:val="22"/>
          <w:szCs w:val="22"/>
        </w:rPr>
        <w:t xml:space="preserve"> 1, 25000 Sombor, Republic of Serbia</w:t>
      </w:r>
    </w:p>
    <w:p w14:paraId="2C16B650" w14:textId="134E495D" w:rsidR="00555689" w:rsidRPr="00555689" w:rsidRDefault="00555689" w:rsidP="00555689">
      <w:pPr>
        <w:pStyle w:val="BodyText"/>
        <w:ind w:left="567"/>
        <w:jc w:val="both"/>
        <w:rPr>
          <w:rFonts w:ascii="Times New Roman" w:hAnsi="Times New Roman"/>
          <w:sz w:val="22"/>
          <w:szCs w:val="22"/>
        </w:rPr>
      </w:pPr>
      <w:r w:rsidRPr="00555689">
        <w:rPr>
          <w:rFonts w:ascii="Times New Roman" w:hAnsi="Times New Roman"/>
          <w:sz w:val="22"/>
          <w:szCs w:val="22"/>
        </w:rPr>
        <w:t>E-mail: marijana.rilke@sombor.rs</w:t>
      </w:r>
    </w:p>
    <w:p w14:paraId="474E7E48" w14:textId="7E5CF3B3" w:rsidR="00EF277A" w:rsidRDefault="00555689" w:rsidP="00555689">
      <w:pPr>
        <w:pStyle w:val="BodyText"/>
        <w:ind w:left="567"/>
        <w:jc w:val="both"/>
        <w:rPr>
          <w:rFonts w:ascii="Times New Roman" w:hAnsi="Times New Roman"/>
          <w:sz w:val="22"/>
          <w:szCs w:val="22"/>
          <w:highlight w:val="lightGray"/>
        </w:rPr>
      </w:pPr>
      <w:r w:rsidRPr="00555689">
        <w:rPr>
          <w:rFonts w:ascii="Times New Roman" w:hAnsi="Times New Roman"/>
          <w:sz w:val="22"/>
          <w:szCs w:val="22"/>
        </w:rPr>
        <w:lastRenderedPageBreak/>
        <w:t>Any clarification of the tender dossier will be communicated simultaneously in writing to all tenderers at the latest 21.06.2025. (8 calendar days before the deadline for submitting tenders).</w:t>
      </w:r>
    </w:p>
    <w:bookmarkEnd w:id="20"/>
    <w:p w14:paraId="5A6F00C2" w14:textId="77777777" w:rsidR="0047783A" w:rsidRPr="00555689" w:rsidRDefault="0047783A" w:rsidP="00767390">
      <w:pPr>
        <w:pStyle w:val="BodyText"/>
        <w:ind w:left="567"/>
        <w:jc w:val="both"/>
        <w:rPr>
          <w:rFonts w:ascii="Times New Roman" w:hAnsi="Times New Roman"/>
          <w:sz w:val="22"/>
        </w:rPr>
      </w:pPr>
      <w:r w:rsidRPr="00555689">
        <w:rPr>
          <w:rFonts w:ascii="Times New Roman" w:hAnsi="Times New Roman"/>
          <w:sz w:val="22"/>
        </w:rPr>
        <w:t xml:space="preserve">Any prospective tenderers seeking to arrange individual meetings with either the </w:t>
      </w:r>
      <w:r w:rsidR="002F48D0" w:rsidRPr="00555689">
        <w:rPr>
          <w:rFonts w:ascii="Times New Roman" w:hAnsi="Times New Roman"/>
          <w:sz w:val="22"/>
        </w:rPr>
        <w:t>c</w:t>
      </w:r>
      <w:r w:rsidRPr="00555689">
        <w:rPr>
          <w:rFonts w:ascii="Times New Roman" w:hAnsi="Times New Roman"/>
          <w:sz w:val="22"/>
        </w:rPr>
        <w:t xml:space="preserve">ontracting </w:t>
      </w:r>
      <w:r w:rsidR="002F48D0" w:rsidRPr="00555689">
        <w:rPr>
          <w:rFonts w:ascii="Times New Roman" w:hAnsi="Times New Roman"/>
          <w:sz w:val="22"/>
        </w:rPr>
        <w:t>a</w:t>
      </w:r>
      <w:r w:rsidRPr="00555689">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Heading1"/>
        <w:rPr>
          <w:lang w:val="en-IE"/>
        </w:rPr>
      </w:pPr>
      <w:bookmarkStart w:id="21" w:name="_Toc42488083"/>
      <w:r w:rsidRPr="00D45256">
        <w:rPr>
          <w:lang w:val="en-IE"/>
        </w:rPr>
        <w:t>14.</w:t>
      </w:r>
      <w:r w:rsidR="005A3D33" w:rsidRPr="00D45256">
        <w:rPr>
          <w:lang w:val="en-IE"/>
        </w:rPr>
        <w:tab/>
      </w:r>
      <w:r w:rsidR="0047783A" w:rsidRPr="00D45256">
        <w:rPr>
          <w:lang w:val="en-IE"/>
        </w:rPr>
        <w:t>Clarification meeting / site visit</w:t>
      </w:r>
      <w:bookmarkEnd w:id="21"/>
    </w:p>
    <w:p w14:paraId="2E4A8E91" w14:textId="1A634B45" w:rsidR="00050CFE" w:rsidRPr="00050CFE" w:rsidRDefault="0047783A" w:rsidP="00050CFE">
      <w:pPr>
        <w:pStyle w:val="Heading2"/>
        <w:numPr>
          <w:ilvl w:val="1"/>
          <w:numId w:val="4"/>
        </w:numPr>
        <w:tabs>
          <w:tab w:val="clear" w:pos="792"/>
        </w:tabs>
        <w:jc w:val="both"/>
        <w:rPr>
          <w:rFonts w:ascii="Times New Roman" w:hAnsi="Times New Roman"/>
          <w:sz w:val="22"/>
          <w:szCs w:val="22"/>
          <w:lang w:val="en-GB"/>
        </w:rPr>
      </w:pPr>
      <w:r w:rsidRPr="00050CFE">
        <w:rPr>
          <w:rFonts w:ascii="Times New Roman" w:hAnsi="Times New Roman"/>
          <w:sz w:val="22"/>
          <w:szCs w:val="22"/>
          <w:lang w:val="en-GB"/>
        </w:rPr>
        <w:t>A</w:t>
      </w:r>
      <w:r w:rsidR="00EC2910" w:rsidRPr="00050CFE">
        <w:rPr>
          <w:rFonts w:ascii="Times New Roman" w:hAnsi="Times New Roman"/>
          <w:sz w:val="22"/>
          <w:szCs w:val="22"/>
          <w:lang w:val="en-GB"/>
        </w:rPr>
        <w:t>n information</w:t>
      </w:r>
      <w:r w:rsidRPr="00050CFE">
        <w:rPr>
          <w:rFonts w:ascii="Times New Roman" w:hAnsi="Times New Roman"/>
          <w:sz w:val="22"/>
          <w:szCs w:val="22"/>
          <w:lang w:val="en-GB"/>
        </w:rPr>
        <w:t xml:space="preserve"> meeting / site visit will be held at least 21 days before the deadline for submission of tenders</w:t>
      </w:r>
      <w:r w:rsidR="009E5310" w:rsidRPr="00050CFE">
        <w:rPr>
          <w:rFonts w:ascii="Times New Roman" w:hAnsi="Times New Roman"/>
          <w:sz w:val="22"/>
          <w:szCs w:val="22"/>
          <w:lang w:val="en-GB"/>
        </w:rPr>
        <w:t xml:space="preserve"> at the time and date set in section 2.</w:t>
      </w:r>
      <w:r w:rsidRPr="00050CFE">
        <w:rPr>
          <w:rFonts w:ascii="Times New Roman" w:hAnsi="Times New Roman"/>
          <w:sz w:val="22"/>
          <w:szCs w:val="22"/>
          <w:lang w:val="en-GB"/>
        </w:rPr>
        <w:t xml:space="preserve"> at </w:t>
      </w:r>
      <w:r w:rsidR="00050CFE" w:rsidRPr="00050CFE">
        <w:rPr>
          <w:rFonts w:ascii="Times New Roman" w:hAnsi="Times New Roman"/>
          <w:sz w:val="22"/>
          <w:szCs w:val="22"/>
          <w:lang w:val="en-GB"/>
        </w:rPr>
        <w:t xml:space="preserve">two locations (SC “Soko”, </w:t>
      </w:r>
      <w:proofErr w:type="spellStart"/>
      <w:r w:rsidR="00050CFE" w:rsidRPr="00050CFE">
        <w:rPr>
          <w:rFonts w:ascii="Times New Roman" w:hAnsi="Times New Roman"/>
          <w:sz w:val="22"/>
          <w:szCs w:val="22"/>
          <w:lang w:val="en-GB"/>
        </w:rPr>
        <w:t>Apatinski</w:t>
      </w:r>
      <w:proofErr w:type="spellEnd"/>
      <w:r w:rsidR="00050CFE" w:rsidRPr="00050CFE">
        <w:rPr>
          <w:rFonts w:ascii="Times New Roman" w:hAnsi="Times New Roman"/>
          <w:sz w:val="22"/>
          <w:szCs w:val="22"/>
          <w:lang w:val="en-GB"/>
        </w:rPr>
        <w:t xml:space="preserve"> put bb, 25000 Sombor and </w:t>
      </w:r>
      <w:proofErr w:type="spellStart"/>
      <w:r w:rsidR="00050CFE" w:rsidRPr="00050CFE">
        <w:rPr>
          <w:rFonts w:ascii="Times New Roman" w:hAnsi="Times New Roman"/>
          <w:sz w:val="22"/>
          <w:szCs w:val="22"/>
          <w:lang w:val="en-GB"/>
        </w:rPr>
        <w:t>Venac</w:t>
      </w:r>
      <w:proofErr w:type="spellEnd"/>
      <w:r w:rsidR="00050CFE" w:rsidRPr="00050CFE">
        <w:rPr>
          <w:rFonts w:ascii="Times New Roman" w:hAnsi="Times New Roman"/>
          <w:sz w:val="22"/>
          <w:szCs w:val="22"/>
          <w:lang w:val="en-GB"/>
        </w:rPr>
        <w:t xml:space="preserve"> Petra </w:t>
      </w:r>
      <w:proofErr w:type="spellStart"/>
      <w:r w:rsidR="00050CFE" w:rsidRPr="00050CFE">
        <w:rPr>
          <w:rFonts w:ascii="Times New Roman" w:hAnsi="Times New Roman"/>
          <w:sz w:val="22"/>
          <w:szCs w:val="22"/>
          <w:lang w:val="en-GB"/>
        </w:rPr>
        <w:t>Bojovića</w:t>
      </w:r>
      <w:proofErr w:type="spellEnd"/>
      <w:r w:rsidR="00050CFE" w:rsidRPr="00050CFE">
        <w:rPr>
          <w:rFonts w:ascii="Times New Roman" w:hAnsi="Times New Roman"/>
          <w:sz w:val="22"/>
          <w:szCs w:val="22"/>
          <w:lang w:val="en-GB"/>
        </w:rPr>
        <w:t xml:space="preserve"> 11, 25000 Sombor) </w:t>
      </w:r>
      <w:r w:rsidRPr="00050CFE">
        <w:rPr>
          <w:rFonts w:ascii="Times New Roman" w:hAnsi="Times New Roman"/>
          <w:sz w:val="22"/>
          <w:szCs w:val="22"/>
          <w:lang w:val="en-GB"/>
        </w:rPr>
        <w:t xml:space="preserve">to answer any questions on the tender dossier which have been forwarded in writing or are raised at the meeting. </w:t>
      </w:r>
      <w:r w:rsidR="00050CFE" w:rsidRPr="00050CFE">
        <w:rPr>
          <w:rFonts w:ascii="Times New Roman" w:hAnsi="Times New Roman"/>
          <w:sz w:val="22"/>
          <w:szCs w:val="22"/>
          <w:lang w:val="en-GB"/>
        </w:rPr>
        <w:t>Tenderers who wish to participate in the site visit must confirm their attendance in writing via email to marijana.rilke@sombor.rs no later than 30.05.2025. Upon confirmation, the Contracting Authority will provide the “Confirmation of Participation in Site Visit” form, which must be completed and returned by the tenderer. On the day of the site visit, all participants will be required to sign the “Attendance List – Site Visit”.</w:t>
      </w:r>
    </w:p>
    <w:p w14:paraId="420AB02C" w14:textId="739CAC29" w:rsidR="0047783A" w:rsidRPr="00050CFE" w:rsidRDefault="00050CFE" w:rsidP="00050CFE">
      <w:pPr>
        <w:pStyle w:val="Heading2"/>
        <w:ind w:left="720"/>
        <w:jc w:val="both"/>
        <w:rPr>
          <w:rFonts w:ascii="Times New Roman" w:hAnsi="Times New Roman"/>
          <w:sz w:val="22"/>
          <w:szCs w:val="22"/>
          <w:lang w:val="en-GB"/>
        </w:rPr>
      </w:pPr>
      <w:r w:rsidRPr="00050CFE">
        <w:rPr>
          <w:rFonts w:ascii="Times New Roman" w:hAnsi="Times New Roman"/>
          <w:sz w:val="22"/>
          <w:szCs w:val="22"/>
          <w:lang w:val="en-GB"/>
        </w:rPr>
        <w:t xml:space="preserve">Minutes will be taken during the meeting and these—together with any clarifications in response to written requests which are not addressed during the meeting—will be published on the website where the tender dossier is available at the latest 8 calendar days before the deadline for submission of tenders. No further clarification will be provided after this date. </w:t>
      </w:r>
      <w:r w:rsidR="0047783A" w:rsidRPr="00050CFE">
        <w:rPr>
          <w:rFonts w:ascii="Times New Roman" w:hAnsi="Times New Roman"/>
          <w:sz w:val="22"/>
          <w:szCs w:val="22"/>
          <w:lang w:val="en-GB"/>
        </w:rPr>
        <w:t>No further clarification will be provided after this date. All the costs of attending this meeting will be borne by the tenderers.</w:t>
      </w:r>
    </w:p>
    <w:p w14:paraId="5CF2C67D" w14:textId="2ACFA008" w:rsidR="0005060F" w:rsidRPr="00050CFE" w:rsidRDefault="0005060F" w:rsidP="00050CFE">
      <w:pPr>
        <w:pStyle w:val="Heading2"/>
        <w:ind w:left="720"/>
        <w:jc w:val="both"/>
        <w:rPr>
          <w:rFonts w:ascii="Times New Roman" w:hAnsi="Times New Roman"/>
          <w:sz w:val="22"/>
          <w:szCs w:val="22"/>
          <w:lang w:val="en-GB"/>
        </w:rPr>
      </w:pPr>
      <w:r w:rsidRPr="00050CFE">
        <w:rPr>
          <w:rFonts w:ascii="Times New Roman" w:hAnsi="Times New Roman"/>
          <w:sz w:val="22"/>
          <w:szCs w:val="22"/>
          <w:lang w:val="en-GB"/>
        </w:rPr>
        <w:t>A site visit to the project locations will be organized as described in the Contract Notice. Participation in the site visit is optional but strongly recommended.</w:t>
      </w:r>
    </w:p>
    <w:p w14:paraId="19E2D89C" w14:textId="5ADA7D06" w:rsidR="0005060F" w:rsidRPr="00050CFE" w:rsidRDefault="0005060F" w:rsidP="00050CFE">
      <w:pPr>
        <w:pStyle w:val="Heading2"/>
        <w:ind w:left="720"/>
        <w:jc w:val="both"/>
        <w:rPr>
          <w:rFonts w:ascii="Times New Roman" w:hAnsi="Times New Roman"/>
          <w:sz w:val="22"/>
          <w:szCs w:val="22"/>
          <w:lang w:val="en-GB"/>
        </w:rPr>
      </w:pPr>
      <w:r w:rsidRPr="00050CFE">
        <w:rPr>
          <w:rFonts w:ascii="Times New Roman" w:hAnsi="Times New Roman"/>
          <w:sz w:val="22"/>
          <w:szCs w:val="22"/>
          <w:lang w:val="en-GB"/>
        </w:rPr>
        <w:t>All tenderers are responsible for familiarizing themselves with the local conditions and any site-specific constraints that may affect the execution of the contract.</w:t>
      </w:r>
    </w:p>
    <w:p w14:paraId="19A3ACD8" w14:textId="2E9C98E3" w:rsidR="0005060F" w:rsidRPr="00050CFE" w:rsidRDefault="0005060F" w:rsidP="00050CFE">
      <w:pPr>
        <w:pStyle w:val="Heading2"/>
        <w:ind w:left="720"/>
        <w:jc w:val="both"/>
        <w:rPr>
          <w:rFonts w:ascii="Times New Roman" w:hAnsi="Times New Roman"/>
          <w:sz w:val="22"/>
          <w:szCs w:val="22"/>
          <w:lang w:val="en-GB"/>
        </w:rPr>
      </w:pPr>
      <w:r w:rsidRPr="00050CFE">
        <w:rPr>
          <w:rFonts w:ascii="Times New Roman" w:hAnsi="Times New Roman"/>
          <w:sz w:val="22"/>
          <w:szCs w:val="22"/>
          <w:lang w:val="en-GB"/>
        </w:rPr>
        <w:t>Tenderers who choose not to attend the site visit will be deemed to have gathered all necessary information independently, and no claims regarding lack of information or misunderstanding of the site conditions will be accepted during the implementation phase.</w:t>
      </w:r>
    </w:p>
    <w:p w14:paraId="2F15601A" w14:textId="57F8C7E3" w:rsidR="0047783A" w:rsidRPr="00050CFE" w:rsidRDefault="00385FFC" w:rsidP="00050CFE">
      <w:pPr>
        <w:pStyle w:val="Heading2"/>
        <w:keepNext w:val="0"/>
        <w:numPr>
          <w:ilvl w:val="1"/>
          <w:numId w:val="4"/>
        </w:numPr>
        <w:tabs>
          <w:tab w:val="clear" w:pos="792"/>
        </w:tabs>
        <w:ind w:left="720" w:hanging="567"/>
        <w:jc w:val="both"/>
        <w:rPr>
          <w:rFonts w:ascii="Times New Roman" w:hAnsi="Times New Roman"/>
          <w:sz w:val="22"/>
          <w:szCs w:val="22"/>
          <w:lang w:val="en-GB"/>
        </w:rPr>
      </w:pPr>
      <w:r w:rsidRPr="00050CFE">
        <w:rPr>
          <w:rFonts w:ascii="Times New Roman" w:hAnsi="Times New Roman"/>
          <w:sz w:val="22"/>
          <w:szCs w:val="22"/>
          <w:lang w:val="en-GB"/>
        </w:rPr>
        <w:t>O</w:t>
      </w:r>
      <w:r w:rsidR="0047783A" w:rsidRPr="00050CFE">
        <w:rPr>
          <w:rFonts w:ascii="Times New Roman" w:hAnsi="Times New Roman"/>
          <w:sz w:val="22"/>
          <w:szCs w:val="22"/>
          <w:lang w:val="en-GB"/>
        </w:rPr>
        <w:t>ther than this site visit for all prospective tenderers</w:t>
      </w:r>
      <w:r w:rsidRPr="00050CFE">
        <w:rPr>
          <w:rFonts w:ascii="Times New Roman" w:hAnsi="Times New Roman"/>
          <w:sz w:val="22"/>
          <w:szCs w:val="22"/>
          <w:lang w:val="en-GB"/>
        </w:rPr>
        <w:t>,</w:t>
      </w:r>
      <w:r w:rsidR="0047783A" w:rsidRPr="00050CFE">
        <w:rPr>
          <w:rFonts w:ascii="Times New Roman" w:hAnsi="Times New Roman"/>
          <w:sz w:val="22"/>
          <w:szCs w:val="22"/>
          <w:lang w:val="en-GB"/>
        </w:rPr>
        <w:t xml:space="preserve"> </w:t>
      </w:r>
      <w:r w:rsidRPr="00050CFE">
        <w:rPr>
          <w:rFonts w:ascii="Times New Roman" w:hAnsi="Times New Roman"/>
          <w:sz w:val="22"/>
          <w:szCs w:val="22"/>
          <w:lang w:val="en-GB"/>
        </w:rPr>
        <w:t xml:space="preserve">no visits by individual prospective tenderers can </w:t>
      </w:r>
      <w:r w:rsidR="0047783A" w:rsidRPr="00050CFE">
        <w:rPr>
          <w:rFonts w:ascii="Times New Roman" w:hAnsi="Times New Roman"/>
          <w:sz w:val="22"/>
          <w:szCs w:val="22"/>
          <w:lang w:val="en-GB"/>
        </w:rPr>
        <w:t>be organised</w:t>
      </w:r>
      <w:r w:rsidRPr="00050CFE">
        <w:rPr>
          <w:rFonts w:ascii="Times New Roman" w:hAnsi="Times New Roman"/>
          <w:sz w:val="22"/>
          <w:szCs w:val="22"/>
          <w:lang w:val="en-GB"/>
        </w:rPr>
        <w:t xml:space="preserve"> during the tender period</w:t>
      </w:r>
      <w:r w:rsidR="0047783A" w:rsidRPr="00050CFE">
        <w:rPr>
          <w:rFonts w:ascii="Times New Roman" w:hAnsi="Times New Roman"/>
          <w:sz w:val="22"/>
          <w:szCs w:val="22"/>
          <w:lang w:val="en-GB"/>
        </w:rPr>
        <w:t>.</w:t>
      </w:r>
    </w:p>
    <w:p w14:paraId="6214904C" w14:textId="52B2B540" w:rsidR="0047783A" w:rsidRPr="00D45256" w:rsidRDefault="005A3D33" w:rsidP="00D45256">
      <w:pPr>
        <w:pStyle w:val="Heading1"/>
        <w:rPr>
          <w:lang w:val="en-IE"/>
        </w:rPr>
      </w:pPr>
      <w:bookmarkStart w:id="22" w:name="_Toc42488084"/>
      <w:r w:rsidRPr="00D45256">
        <w:rPr>
          <w:lang w:val="en-IE"/>
        </w:rPr>
        <w:t>15.</w:t>
      </w:r>
      <w:r w:rsidRPr="00D45256">
        <w:rPr>
          <w:lang w:val="en-IE"/>
        </w:rPr>
        <w:tab/>
      </w:r>
      <w:r w:rsidR="0047783A" w:rsidRPr="00D45256">
        <w:rPr>
          <w:lang w:val="en-IE"/>
        </w:rPr>
        <w:t>Alteration or withdrawal of tenders</w:t>
      </w:r>
      <w:bookmarkEnd w:id="22"/>
    </w:p>
    <w:p w14:paraId="31E0BA62" w14:textId="5D2190EF" w:rsidR="002F559C" w:rsidRPr="00555689" w:rsidRDefault="0047783A" w:rsidP="00CE3FF3">
      <w:pPr>
        <w:pStyle w:val="Heading2"/>
        <w:keepLines/>
        <w:ind w:left="567" w:hanging="567"/>
        <w:jc w:val="both"/>
        <w:rPr>
          <w:rFonts w:ascii="Times New Roman" w:hAnsi="Times New Roman"/>
          <w:sz w:val="22"/>
          <w:szCs w:val="22"/>
          <w:lang w:val="en-IE"/>
        </w:rPr>
      </w:pPr>
      <w:r w:rsidRPr="00555689">
        <w:rPr>
          <w:rFonts w:ascii="Times New Roman" w:hAnsi="Times New Roman"/>
          <w:sz w:val="22"/>
          <w:lang w:val="en-GB"/>
        </w:rPr>
        <w:t>15.</w:t>
      </w:r>
      <w:r w:rsidR="002F559C" w:rsidRPr="00555689">
        <w:rPr>
          <w:rFonts w:ascii="Times New Roman" w:hAnsi="Times New Roman"/>
          <w:sz w:val="22"/>
          <w:lang w:val="en-GB"/>
        </w:rPr>
        <w:t>1</w:t>
      </w:r>
      <w:r w:rsidRPr="00555689">
        <w:rPr>
          <w:rFonts w:ascii="Times New Roman" w:hAnsi="Times New Roman"/>
          <w:sz w:val="22"/>
          <w:lang w:val="en-GB"/>
        </w:rPr>
        <w:tab/>
      </w:r>
      <w:r w:rsidR="002F559C" w:rsidRPr="00555689">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555689">
        <w:rPr>
          <w:rFonts w:ascii="Times New Roman" w:hAnsi="Times New Roman"/>
          <w:sz w:val="22"/>
          <w:lang w:val="en-IE"/>
        </w:rPr>
        <w:t xml:space="preserve"> </w:t>
      </w:r>
    </w:p>
    <w:p w14:paraId="2F12C80F" w14:textId="4B832773" w:rsidR="0047783A" w:rsidRPr="00555689" w:rsidRDefault="0047783A" w:rsidP="009956B4">
      <w:pPr>
        <w:pStyle w:val="Heading2"/>
        <w:keepNext w:val="0"/>
        <w:ind w:left="567"/>
        <w:jc w:val="both"/>
        <w:rPr>
          <w:rFonts w:ascii="Times New Roman" w:hAnsi="Times New Roman"/>
          <w:sz w:val="22"/>
          <w:szCs w:val="22"/>
          <w:lang w:val="en-GB"/>
        </w:rPr>
      </w:pPr>
      <w:r w:rsidRPr="00555689">
        <w:rPr>
          <w:rFonts w:ascii="Times New Roman" w:hAnsi="Times New Roman"/>
          <w:sz w:val="22"/>
          <w:szCs w:val="22"/>
          <w:lang w:val="en-GB"/>
        </w:rPr>
        <w:t xml:space="preserve">Any such notification of alteration or withdrawal must be prepared and submitted in accordance with </w:t>
      </w:r>
      <w:r w:rsidR="000C6C88" w:rsidRPr="00555689">
        <w:rPr>
          <w:rFonts w:ascii="Times New Roman" w:hAnsi="Times New Roman"/>
          <w:sz w:val="22"/>
          <w:szCs w:val="22"/>
          <w:lang w:val="en-GB"/>
        </w:rPr>
        <w:t>Section 10</w:t>
      </w:r>
      <w:r w:rsidRPr="00555689">
        <w:rPr>
          <w:rFonts w:ascii="Times New Roman" w:hAnsi="Times New Roman"/>
          <w:sz w:val="22"/>
          <w:szCs w:val="22"/>
          <w:lang w:val="en-GB"/>
        </w:rPr>
        <w:t xml:space="preserve">. The outer envelope must be marked </w:t>
      </w:r>
      <w:r w:rsidR="006A5F84" w:rsidRPr="00555689">
        <w:rPr>
          <w:rFonts w:ascii="Times New Roman" w:hAnsi="Times New Roman"/>
          <w:sz w:val="22"/>
          <w:szCs w:val="22"/>
          <w:lang w:val="en-GB"/>
        </w:rPr>
        <w:t>‘</w:t>
      </w:r>
      <w:r w:rsidRPr="00555689">
        <w:rPr>
          <w:rFonts w:ascii="Times New Roman" w:hAnsi="Times New Roman"/>
          <w:sz w:val="22"/>
          <w:szCs w:val="22"/>
          <w:lang w:val="en-GB"/>
        </w:rPr>
        <w:t>Alteration</w:t>
      </w:r>
      <w:r w:rsidR="006A5F84" w:rsidRPr="00555689">
        <w:rPr>
          <w:rFonts w:ascii="Times New Roman" w:hAnsi="Times New Roman"/>
          <w:sz w:val="22"/>
          <w:szCs w:val="22"/>
          <w:lang w:val="en-GB"/>
        </w:rPr>
        <w:t>’</w:t>
      </w:r>
      <w:r w:rsidRPr="00555689">
        <w:rPr>
          <w:rFonts w:ascii="Times New Roman" w:hAnsi="Times New Roman"/>
          <w:sz w:val="22"/>
          <w:szCs w:val="22"/>
          <w:lang w:val="en-GB"/>
        </w:rPr>
        <w:t xml:space="preserve"> or </w:t>
      </w:r>
      <w:r w:rsidR="006A5F84" w:rsidRPr="00555689">
        <w:rPr>
          <w:rFonts w:ascii="Times New Roman" w:hAnsi="Times New Roman"/>
          <w:sz w:val="22"/>
          <w:szCs w:val="22"/>
          <w:lang w:val="en-GB"/>
        </w:rPr>
        <w:t>‘</w:t>
      </w:r>
      <w:r w:rsidRPr="00555689">
        <w:rPr>
          <w:rFonts w:ascii="Times New Roman" w:hAnsi="Times New Roman"/>
          <w:sz w:val="22"/>
          <w:szCs w:val="22"/>
          <w:lang w:val="en-GB"/>
        </w:rPr>
        <w:t>Withdrawal</w:t>
      </w:r>
      <w:r w:rsidR="006A5F84" w:rsidRPr="00555689">
        <w:rPr>
          <w:rFonts w:ascii="Times New Roman" w:hAnsi="Times New Roman"/>
          <w:sz w:val="22"/>
          <w:szCs w:val="22"/>
          <w:lang w:val="en-GB"/>
        </w:rPr>
        <w:t>’</w:t>
      </w:r>
      <w:r w:rsidRPr="00555689">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w:t>
      </w:r>
      <w:r w:rsidR="00A93219">
        <w:rPr>
          <w:rFonts w:ascii="Times New Roman" w:hAnsi="Times New Roman"/>
          <w:sz w:val="22"/>
          <w:lang w:val="en-GB"/>
        </w:rPr>
        <w:t xml:space="preserve"> </w:t>
      </w:r>
      <w:r w:rsidRPr="00E82463">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23" w:name="_Toc42488085"/>
      <w:r w:rsidRPr="00D45256">
        <w:rPr>
          <w:lang w:val="en-IE"/>
        </w:rPr>
        <w:lastRenderedPageBreak/>
        <w:t>16.</w:t>
      </w:r>
      <w:r w:rsidR="005A3D33" w:rsidRPr="00D45256">
        <w:rPr>
          <w:lang w:val="en-IE"/>
        </w:rPr>
        <w:tab/>
      </w:r>
      <w:r w:rsidR="0047783A" w:rsidRPr="00D45256">
        <w:rPr>
          <w:lang w:val="en-IE"/>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24" w:name="_Toc42488086"/>
      <w:r w:rsidR="0047783A" w:rsidRPr="00D45256">
        <w:rPr>
          <w:lang w:val="en-IE"/>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25" w:name="_Toc42488087"/>
      <w:r w:rsidRPr="00D45256">
        <w:rPr>
          <w:lang w:val="en-IE"/>
        </w:rPr>
        <w:t>18.</w:t>
      </w:r>
      <w:r w:rsidR="005A3D33" w:rsidRPr="00D45256">
        <w:rPr>
          <w:lang w:val="en-IE"/>
        </w:rPr>
        <w:tab/>
      </w:r>
      <w:r w:rsidR="0047783A" w:rsidRPr="00D45256">
        <w:rPr>
          <w:lang w:val="en-IE"/>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w:t>
      </w:r>
    </w:p>
    <w:p w14:paraId="2F10EC9B" w14:textId="202F5AC7" w:rsidR="0047783A" w:rsidRPr="00D45256" w:rsidRDefault="00A633C6" w:rsidP="00D45256">
      <w:pPr>
        <w:pStyle w:val="Heading1"/>
        <w:rPr>
          <w:lang w:val="en-IE"/>
        </w:rPr>
      </w:pPr>
      <w:bookmarkStart w:id="26" w:name="_Toc42488088"/>
      <w:r w:rsidRPr="00D45256">
        <w:rPr>
          <w:lang w:val="en-IE"/>
        </w:rPr>
        <w:t>19.</w:t>
      </w:r>
      <w:r w:rsidR="00092841" w:rsidRPr="00D45256">
        <w:rPr>
          <w:lang w:val="en-IE"/>
        </w:rPr>
        <w:tab/>
      </w:r>
      <w:r w:rsidR="0047783A" w:rsidRPr="00D45256">
        <w:rPr>
          <w:lang w:val="en-IE"/>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2CA95355" w:rsidR="0000259F" w:rsidRPr="00555689" w:rsidRDefault="0047783A" w:rsidP="0000259F">
      <w:pPr>
        <w:pStyle w:val="Heading2"/>
        <w:ind w:left="567" w:hanging="567"/>
        <w:jc w:val="both"/>
        <w:rPr>
          <w:rFonts w:ascii="Times New Roman" w:hAnsi="Times New Roman"/>
          <w:sz w:val="22"/>
          <w:lang w:val="en-GB"/>
        </w:rPr>
      </w:pPr>
      <w:r w:rsidRPr="00555689">
        <w:rPr>
          <w:rFonts w:ascii="Times New Roman" w:hAnsi="Times New Roman"/>
          <w:sz w:val="22"/>
          <w:lang w:val="en-GB"/>
        </w:rPr>
        <w:t>19.2</w:t>
      </w:r>
      <w:r w:rsidRPr="00555689">
        <w:rPr>
          <w:rFonts w:ascii="Times New Roman" w:hAnsi="Times New Roman"/>
          <w:sz w:val="22"/>
          <w:lang w:val="en-GB"/>
        </w:rPr>
        <w:tab/>
      </w:r>
      <w:r w:rsidR="000C6C88" w:rsidRPr="00555689">
        <w:rPr>
          <w:rFonts w:ascii="Times New Roman" w:hAnsi="Times New Roman"/>
          <w:sz w:val="22"/>
          <w:lang w:val="en-GB"/>
        </w:rPr>
        <w:t>The d</w:t>
      </w:r>
      <w:r w:rsidR="0000259F" w:rsidRPr="00555689">
        <w:rPr>
          <w:rFonts w:ascii="Times New Roman" w:hAnsi="Times New Roman"/>
          <w:sz w:val="22"/>
          <w:lang w:val="en-GB"/>
        </w:rPr>
        <w:t>ate and venue of the tender opening session</w:t>
      </w:r>
      <w:r w:rsidR="000C6C88" w:rsidRPr="00555689">
        <w:rPr>
          <w:rFonts w:ascii="Times New Roman" w:hAnsi="Times New Roman"/>
          <w:sz w:val="22"/>
          <w:lang w:val="en-GB"/>
        </w:rPr>
        <w:t xml:space="preserve"> </w:t>
      </w:r>
      <w:r w:rsidR="00F42488" w:rsidRPr="00555689">
        <w:rPr>
          <w:rFonts w:ascii="Times New Roman" w:hAnsi="Times New Roman"/>
          <w:sz w:val="22"/>
          <w:lang w:val="en-GB"/>
        </w:rPr>
        <w:t xml:space="preserve">are </w:t>
      </w:r>
      <w:r w:rsidR="000C6C88" w:rsidRPr="00555689">
        <w:rPr>
          <w:rFonts w:ascii="Times New Roman" w:hAnsi="Times New Roman"/>
          <w:sz w:val="22"/>
          <w:lang w:val="en-GB"/>
        </w:rPr>
        <w:t>indicated in the Contract Notice.</w:t>
      </w:r>
    </w:p>
    <w:p w14:paraId="1E74FCE9" w14:textId="35A91AC1" w:rsidR="0096647C" w:rsidRPr="00555689" w:rsidRDefault="0096647C" w:rsidP="0096647C">
      <w:pPr>
        <w:ind w:left="567"/>
        <w:jc w:val="both"/>
        <w:rPr>
          <w:rFonts w:ascii="Times New Roman" w:hAnsi="Times New Roman"/>
          <w:sz w:val="22"/>
          <w:szCs w:val="22"/>
        </w:rPr>
      </w:pPr>
      <w:r w:rsidRPr="00555689">
        <w:rPr>
          <w:rFonts w:ascii="Times New Roman" w:hAnsi="Times New Roman"/>
          <w:sz w:val="22"/>
          <w:szCs w:val="22"/>
        </w:rPr>
        <w:t xml:space="preserve">Tenderers wishing to attend the opening session, are required to send a request by email to </w:t>
      </w:r>
      <w:hyperlink r:id="rId10" w:history="1">
        <w:r w:rsidR="00555689" w:rsidRPr="002715FA">
          <w:rPr>
            <w:rStyle w:val="Hyperlink"/>
            <w:rFonts w:ascii="Times New Roman" w:hAnsi="Times New Roman"/>
            <w:sz w:val="22"/>
            <w:szCs w:val="22"/>
          </w:rPr>
          <w:t>marijana.rilke@sombor.rs</w:t>
        </w:r>
      </w:hyperlink>
      <w:r w:rsidR="00555689">
        <w:rPr>
          <w:rFonts w:ascii="Times New Roman" w:hAnsi="Times New Roman"/>
          <w:sz w:val="22"/>
          <w:szCs w:val="22"/>
        </w:rPr>
        <w:t xml:space="preserve"> </w:t>
      </w:r>
      <w:r w:rsidRPr="00555689">
        <w:rPr>
          <w:rFonts w:ascii="Times New Roman" w:hAnsi="Times New Roman"/>
          <w:sz w:val="22"/>
          <w:szCs w:val="22"/>
        </w:rPr>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555689" w:rsidRDefault="0047783A">
      <w:pPr>
        <w:pStyle w:val="Heading2"/>
        <w:keepNext w:val="0"/>
        <w:ind w:left="567"/>
        <w:jc w:val="both"/>
        <w:rPr>
          <w:rFonts w:ascii="Times New Roman" w:hAnsi="Times New Roman"/>
          <w:sz w:val="22"/>
          <w:lang w:val="en-GB"/>
        </w:rPr>
      </w:pPr>
      <w:r w:rsidRPr="00555689">
        <w:rPr>
          <w:rFonts w:ascii="Times New Roman" w:hAnsi="Times New Roman"/>
          <w:sz w:val="22"/>
          <w:lang w:val="en-GB"/>
        </w:rPr>
        <w:t>The committee will draw up minutes of the meeting, which will be available on request.</w:t>
      </w:r>
    </w:p>
    <w:p w14:paraId="7FBE10F5" w14:textId="24268D8A" w:rsidR="00A5438F" w:rsidRPr="00555689" w:rsidRDefault="00A5438F" w:rsidP="00FC6A15">
      <w:pPr>
        <w:ind w:left="567"/>
        <w:jc w:val="both"/>
        <w:rPr>
          <w:rFonts w:ascii="Times New Roman" w:hAnsi="Times New Roman"/>
          <w:sz w:val="22"/>
        </w:rPr>
      </w:pPr>
      <w:r w:rsidRPr="00555689">
        <w:rPr>
          <w:rFonts w:ascii="Times New Roman" w:hAnsi="Times New Roman"/>
          <w:sz w:val="22"/>
          <w:szCs w:val="22"/>
        </w:rPr>
        <w:t xml:space="preserve">In the case that at the date of the opening session some tenders have not been delivered to the contracting </w:t>
      </w:r>
      <w:proofErr w:type="gramStart"/>
      <w:r w:rsidRPr="00555689">
        <w:rPr>
          <w:rFonts w:ascii="Times New Roman" w:hAnsi="Times New Roman"/>
          <w:sz w:val="22"/>
          <w:szCs w:val="22"/>
        </w:rPr>
        <w:t>authority</w:t>
      </w:r>
      <w:proofErr w:type="gramEnd"/>
      <w:r w:rsidRPr="00555689">
        <w:rPr>
          <w:rFonts w:ascii="Times New Roman" w:hAnsi="Times New Roman"/>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sidRPr="00555689">
        <w:rPr>
          <w:rFonts w:ascii="Times New Roman" w:hAnsi="Times New Roman"/>
          <w:sz w:val="22"/>
        </w:rPr>
        <w:t>.</w:t>
      </w:r>
      <w:r w:rsidR="000C6C88" w:rsidRPr="00555689" w:rsidDel="000C6C88">
        <w:rPr>
          <w:rFonts w:ascii="Times New Roman" w:hAnsi="Times New Roman"/>
          <w:sz w:val="22"/>
        </w:rPr>
        <w:t xml:space="preserve"> </w:t>
      </w:r>
    </w:p>
    <w:p w14:paraId="399D7693" w14:textId="77777777" w:rsidR="0047783A" w:rsidRPr="001E4B15" w:rsidRDefault="0047783A" w:rsidP="001A2BC4">
      <w:pPr>
        <w:ind w:left="567" w:hanging="567"/>
        <w:jc w:val="both"/>
        <w:rPr>
          <w:rFonts w:ascii="Times New Roman" w:hAnsi="Times New Roman"/>
          <w:sz w:val="22"/>
        </w:rPr>
      </w:pPr>
      <w:r w:rsidRPr="001E4B15">
        <w:rPr>
          <w:rFonts w:ascii="Times New Roman" w:hAnsi="Times New Roman"/>
          <w:sz w:val="22"/>
        </w:rPr>
        <w:t>19.3</w:t>
      </w:r>
      <w:r w:rsidRPr="001E4B15">
        <w:rPr>
          <w:rFonts w:ascii="Times New Roman" w:hAnsi="Times New Roman"/>
          <w:sz w:val="22"/>
        </w:rPr>
        <w:tab/>
        <w:t>At the tender opening, the tenderers</w:t>
      </w:r>
      <w:r w:rsidR="006A5F84" w:rsidRPr="001E4B15">
        <w:rPr>
          <w:rFonts w:ascii="Times New Roman" w:hAnsi="Times New Roman"/>
          <w:sz w:val="22"/>
        </w:rPr>
        <w:t>’</w:t>
      </w:r>
      <w:r w:rsidRPr="001E4B15">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1E4B15">
        <w:rPr>
          <w:rFonts w:ascii="Times New Roman" w:hAnsi="Times New Roman"/>
          <w:sz w:val="22"/>
        </w:rPr>
        <w:t>c</w:t>
      </w:r>
      <w:r w:rsidRPr="001E4B15">
        <w:rPr>
          <w:rFonts w:ascii="Times New Roman" w:hAnsi="Times New Roman"/>
          <w:sz w:val="22"/>
        </w:rPr>
        <w:t xml:space="preserve">ontracting </w:t>
      </w:r>
      <w:r w:rsidR="00DD6678" w:rsidRPr="001E4B15">
        <w:rPr>
          <w:rFonts w:ascii="Times New Roman" w:hAnsi="Times New Roman"/>
          <w:sz w:val="22"/>
        </w:rPr>
        <w:t>a</w:t>
      </w:r>
      <w:r w:rsidRPr="001E4B15">
        <w:rPr>
          <w:rFonts w:ascii="Times New Roman" w:hAnsi="Times New Roman"/>
          <w:sz w:val="22"/>
        </w:rPr>
        <w:t>uthority may consider appropriate may be announced.</w:t>
      </w:r>
    </w:p>
    <w:p w14:paraId="68DAAAB5" w14:textId="1312B80E" w:rsidR="0047783A" w:rsidRPr="001E4B15" w:rsidRDefault="0047783A" w:rsidP="0047783A">
      <w:pPr>
        <w:pStyle w:val="Heading2"/>
        <w:keepNext w:val="0"/>
        <w:ind w:left="567" w:hanging="567"/>
        <w:jc w:val="both"/>
        <w:rPr>
          <w:rFonts w:ascii="Times New Roman" w:hAnsi="Times New Roman"/>
          <w:sz w:val="22"/>
          <w:lang w:val="en-GB"/>
        </w:rPr>
      </w:pPr>
      <w:r w:rsidRPr="001E4B15">
        <w:rPr>
          <w:rFonts w:ascii="Times New Roman" w:hAnsi="Times New Roman"/>
          <w:sz w:val="22"/>
          <w:lang w:val="en-GB"/>
        </w:rPr>
        <w:lastRenderedPageBreak/>
        <w:t>19.4</w:t>
      </w:r>
      <w:r w:rsidRPr="001E4B15">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1E4B15">
        <w:rPr>
          <w:rFonts w:ascii="Times New Roman" w:hAnsi="Times New Roman"/>
          <w:sz w:val="22"/>
          <w:lang w:val="en-GB"/>
        </w:rPr>
        <w:t>19.5</w:t>
      </w:r>
      <w:r w:rsidRPr="001E4B15">
        <w:rPr>
          <w:rFonts w:ascii="Times New Roman" w:hAnsi="Times New Roman"/>
          <w:sz w:val="22"/>
          <w:lang w:val="en-GB"/>
        </w:rPr>
        <w:tab/>
        <w:t>Any attempt by tenderer</w:t>
      </w:r>
      <w:r w:rsidR="00C778A1" w:rsidRPr="001E4B15">
        <w:rPr>
          <w:rFonts w:ascii="Times New Roman" w:hAnsi="Times New Roman"/>
          <w:sz w:val="22"/>
          <w:lang w:val="en-GB"/>
        </w:rPr>
        <w:t>s</w:t>
      </w:r>
      <w:r w:rsidRPr="001E4B15">
        <w:rPr>
          <w:rFonts w:ascii="Times New Roman" w:hAnsi="Times New Roman"/>
          <w:sz w:val="22"/>
          <w:lang w:val="en-GB"/>
        </w:rPr>
        <w:t xml:space="preserve"> to influence the evaluation committee in the process of</w:t>
      </w:r>
      <w:r w:rsidRPr="00E82463">
        <w:rPr>
          <w:rFonts w:ascii="Times New Roman" w:hAnsi="Times New Roman"/>
          <w:sz w:val="22"/>
          <w:lang w:val="en-GB"/>
        </w:rPr>
        <w:t xml:space="preserve">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27"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w:t>
      </w:r>
      <w:proofErr w:type="gramStart"/>
      <w:r w:rsidR="002456F1" w:rsidRPr="004002E5">
        <w:rPr>
          <w:rFonts w:ascii="Times New Roman" w:hAnsi="Times New Roman"/>
          <w:sz w:val="22"/>
        </w:rPr>
        <w:t>take into account</w:t>
      </w:r>
      <w:proofErr w:type="gramEnd"/>
      <w:r w:rsidR="002456F1" w:rsidRPr="004002E5">
        <w:rPr>
          <w:rFonts w:ascii="Times New Roman" w:hAnsi="Times New Roman"/>
          <w:sz w:val="22"/>
        </w:rPr>
        <w:t xml:space="preserve">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 xml:space="preserve">uthority will examine in detail all the information supplied by the tenderers and will formulate its judgment </w:t>
      </w:r>
      <w:proofErr w:type="gramStart"/>
      <w:r w:rsidR="002456F1" w:rsidRPr="004002E5">
        <w:rPr>
          <w:rFonts w:ascii="Times New Roman" w:hAnsi="Times New Roman"/>
          <w:sz w:val="22"/>
        </w:rPr>
        <w:t>on the basis of</w:t>
      </w:r>
      <w:proofErr w:type="gramEnd"/>
      <w:r w:rsidR="002456F1" w:rsidRPr="004002E5">
        <w:rPr>
          <w:rFonts w:ascii="Times New Roman" w:hAnsi="Times New Roman"/>
          <w:sz w:val="22"/>
        </w:rPr>
        <w:t xml:space="preserve">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2245B2A6" w14:textId="5C3D218B" w:rsidR="0047783A" w:rsidRPr="001E4B15" w:rsidRDefault="0047783A" w:rsidP="001E4B15">
      <w:pPr>
        <w:ind w:left="567" w:firstLine="11"/>
        <w:jc w:val="both"/>
        <w:outlineLvl w:val="0"/>
        <w:rPr>
          <w:rFonts w:ascii="Times New Roman" w:hAnsi="Times New Roman"/>
        </w:rPr>
      </w:pPr>
      <w:r w:rsidRPr="001E4B15">
        <w:rPr>
          <w:rFonts w:ascii="Times New Roman" w:hAnsi="Times New Roman"/>
          <w:sz w:val="22"/>
        </w:rPr>
        <w:t>The sole award criterion will be the price. The contract will be awarded to the lowest compliant tender.</w:t>
      </w:r>
    </w:p>
    <w:p w14:paraId="13379A80" w14:textId="60E73DDF" w:rsidR="00986D62" w:rsidRPr="001E4B15" w:rsidRDefault="004F7E7A" w:rsidP="001E4B15">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2BCEDC6D" w14:textId="01ECCAFD" w:rsidR="001719EB" w:rsidRPr="001E4B15" w:rsidRDefault="0048742A" w:rsidP="00D45256">
      <w:pPr>
        <w:ind w:left="567"/>
        <w:jc w:val="both"/>
        <w:rPr>
          <w:rFonts w:ascii="Times New Roman" w:hAnsi="Times New Roman"/>
          <w:sz w:val="22"/>
          <w:szCs w:val="22"/>
          <w:lang w:val="en-IE"/>
        </w:rPr>
      </w:pPr>
      <w:r w:rsidRPr="001E4B15">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1E4B15">
        <w:rPr>
          <w:rFonts w:ascii="Times New Roman" w:hAnsi="Times New Roman"/>
          <w:sz w:val="22"/>
          <w:szCs w:val="22"/>
          <w:lang w:val="en-IE"/>
        </w:rPr>
        <w:t xml:space="preserve"> (</w:t>
      </w:r>
      <w:r w:rsidR="00124409" w:rsidRPr="001E4B15">
        <w:rPr>
          <w:rFonts w:ascii="Times New Roman" w:hAnsi="Times New Roman"/>
          <w:sz w:val="22"/>
          <w:szCs w:val="22"/>
        </w:rPr>
        <w:t>financial, economic, technical and professional capacity)</w:t>
      </w:r>
      <w:r w:rsidRPr="001E4B15">
        <w:rPr>
          <w:rFonts w:ascii="Times New Roman" w:hAnsi="Times New Roman"/>
          <w:sz w:val="22"/>
          <w:szCs w:val="22"/>
          <w:lang w:val="en-IE"/>
        </w:rPr>
        <w:t xml:space="preserve"> set out in these instructions. Please note that a request for evidence in no way implies that the tenderer has been successful. </w:t>
      </w:r>
      <w:r w:rsidRPr="001E4B15">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1E4B15">
        <w:rPr>
          <w:rFonts w:ascii="Times New Roman" w:hAnsi="Times New Roman"/>
          <w:sz w:val="22"/>
          <w:szCs w:val="22"/>
          <w:lang w:val="en-IE"/>
        </w:rPr>
        <w:t>. In any event</w:t>
      </w:r>
      <w:r w:rsidR="00ED0949" w:rsidRPr="001E4B15">
        <w:rPr>
          <w:rFonts w:ascii="Times New Roman" w:hAnsi="Times New Roman"/>
          <w:sz w:val="22"/>
          <w:szCs w:val="22"/>
          <w:lang w:val="en-IE"/>
        </w:rPr>
        <w:t>,</w:t>
      </w:r>
      <w:r w:rsidRPr="001E4B15">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35E10C22" w:rsidR="0048742A" w:rsidRPr="001E4B15" w:rsidRDefault="0048742A" w:rsidP="00D45256">
      <w:pPr>
        <w:ind w:left="567"/>
        <w:jc w:val="both"/>
        <w:rPr>
          <w:rFonts w:ascii="Times New Roman" w:hAnsi="Times New Roman"/>
          <w:sz w:val="22"/>
          <w:szCs w:val="22"/>
        </w:rPr>
      </w:pPr>
      <w:r w:rsidRPr="001E4B15">
        <w:rPr>
          <w:rFonts w:ascii="Times New Roman" w:hAnsi="Times New Roman"/>
          <w:sz w:val="22"/>
          <w:szCs w:val="22"/>
        </w:rPr>
        <w:t>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w:t>
      </w:r>
      <w:r w:rsidR="00037C20" w:rsidRPr="001E4B15">
        <w:rPr>
          <w:rFonts w:ascii="Times New Roman" w:hAnsi="Times New Roman"/>
          <w:sz w:val="22"/>
          <w:szCs w:val="22"/>
        </w:rPr>
        <w:t>4.2</w:t>
      </w:r>
      <w:r w:rsidRPr="001E4B15">
        <w:rPr>
          <w:rFonts w:ascii="Times New Roman" w:hAnsi="Times New Roman"/>
          <w:sz w:val="22"/>
          <w:szCs w:val="22"/>
        </w:rPr>
        <w:t xml:space="preserve"> of the practical guide. </w:t>
      </w:r>
    </w:p>
    <w:p w14:paraId="07F1121D" w14:textId="24B56D19" w:rsidR="00820AEF" w:rsidRPr="001E4B15" w:rsidRDefault="00820AEF" w:rsidP="00D45256">
      <w:pPr>
        <w:ind w:left="567"/>
        <w:jc w:val="both"/>
        <w:rPr>
          <w:rFonts w:ascii="Times New Roman" w:hAnsi="Times New Roman"/>
          <w:b/>
          <w:i/>
          <w:iCs/>
          <w:sz w:val="22"/>
          <w:szCs w:val="22"/>
          <w:u w:val="single"/>
        </w:rPr>
      </w:pPr>
      <w:r w:rsidRPr="001E4B15">
        <w:rPr>
          <w:rFonts w:ascii="Times New Roman" w:hAnsi="Times New Roman"/>
          <w:sz w:val="22"/>
          <w:szCs w:val="22"/>
        </w:rPr>
        <w:lastRenderedPageBreak/>
        <w:t xml:space="preserve">At any time during the procurement procedure, </w:t>
      </w:r>
      <w:bookmarkStart w:id="29" w:name="_Hlk138949784"/>
      <w:r w:rsidRPr="001E4B15">
        <w:rPr>
          <w:rFonts w:ascii="Times New Roman" w:hAnsi="Times New Roman"/>
          <w:sz w:val="22"/>
          <w:szCs w:val="22"/>
        </w:rPr>
        <w:t xml:space="preserve">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w:t>
      </w:r>
      <w:r w:rsidR="009C0688" w:rsidRPr="001E4B15">
        <w:rPr>
          <w:rFonts w:ascii="Times New Roman" w:hAnsi="Times New Roman"/>
          <w:sz w:val="22"/>
          <w:szCs w:val="22"/>
        </w:rPr>
        <w:t>t</w:t>
      </w:r>
      <w:r w:rsidRPr="001E4B15">
        <w:rPr>
          <w:rFonts w:ascii="Times New Roman" w:hAnsi="Times New Roman"/>
          <w:sz w:val="22"/>
          <w:szCs w:val="22"/>
        </w:rPr>
        <w:t>he Declaration on Honour.</w:t>
      </w:r>
      <w:bookmarkEnd w:id="29"/>
    </w:p>
    <w:p w14:paraId="4AA2AD90" w14:textId="683FC5FD" w:rsidR="0048742A" w:rsidRPr="001E4B15" w:rsidRDefault="0048742A" w:rsidP="00D45256">
      <w:pPr>
        <w:ind w:left="567"/>
        <w:jc w:val="both"/>
        <w:outlineLvl w:val="0"/>
        <w:rPr>
          <w:rFonts w:ascii="Times New Roman" w:hAnsi="Times New Roman"/>
          <w:sz w:val="22"/>
          <w:szCs w:val="22"/>
          <w:lang w:val="en-IE"/>
        </w:rPr>
      </w:pPr>
      <w:r w:rsidRPr="001E4B15">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1E4B15" w:rsidRDefault="00124409" w:rsidP="00D45256">
      <w:pPr>
        <w:ind w:left="567"/>
        <w:jc w:val="both"/>
        <w:rPr>
          <w:rFonts w:ascii="Times New Roman" w:hAnsi="Times New Roman"/>
          <w:sz w:val="22"/>
          <w:szCs w:val="22"/>
        </w:rPr>
      </w:pPr>
      <w:r w:rsidRPr="001E4B15">
        <w:rPr>
          <w:rFonts w:ascii="Times New Roman" w:hAnsi="Times New Roman"/>
          <w:sz w:val="22"/>
          <w:szCs w:val="22"/>
        </w:rPr>
        <w:t>The above-mentioned docume</w:t>
      </w:r>
      <w:r w:rsidR="00531CAA" w:rsidRPr="001E4B15">
        <w:rPr>
          <w:rFonts w:ascii="Times New Roman" w:hAnsi="Times New Roman"/>
          <w:sz w:val="22"/>
          <w:szCs w:val="22"/>
        </w:rPr>
        <w:t xml:space="preserve">nts must be submitted for </w:t>
      </w:r>
      <w:r w:rsidRPr="001E4B15">
        <w:rPr>
          <w:rFonts w:ascii="Times New Roman" w:hAnsi="Times New Roman"/>
          <w:sz w:val="22"/>
          <w:szCs w:val="22"/>
        </w:rPr>
        <w:t>every member of a joint venture/consortium, all subcontractors and every capacity providing entit</w:t>
      </w:r>
      <w:r w:rsidR="00531CAA" w:rsidRPr="001E4B15">
        <w:rPr>
          <w:rFonts w:ascii="Times New Roman" w:hAnsi="Times New Roman"/>
          <w:sz w:val="22"/>
          <w:szCs w:val="22"/>
        </w:rPr>
        <w:t>y</w:t>
      </w:r>
      <w:r w:rsidRPr="001E4B15">
        <w:rPr>
          <w:rFonts w:ascii="Times New Roman" w:hAnsi="Times New Roman"/>
          <w:sz w:val="22"/>
          <w:szCs w:val="22"/>
        </w:rPr>
        <w:t xml:space="preserve">. </w:t>
      </w:r>
    </w:p>
    <w:p w14:paraId="5DE9377D" w14:textId="19BB92C7" w:rsidR="0048742A" w:rsidRPr="001E4B15" w:rsidRDefault="0048742A" w:rsidP="00D45256">
      <w:pPr>
        <w:ind w:left="567"/>
        <w:jc w:val="both"/>
        <w:outlineLvl w:val="0"/>
        <w:rPr>
          <w:rFonts w:ascii="Times New Roman" w:hAnsi="Times New Roman"/>
          <w:sz w:val="22"/>
          <w:szCs w:val="22"/>
          <w:lang w:val="en-IE"/>
        </w:rPr>
      </w:pPr>
      <w:r w:rsidRPr="001E4B15">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1E4B15" w:rsidRDefault="0048742A" w:rsidP="00D45256">
      <w:pPr>
        <w:ind w:left="567"/>
        <w:jc w:val="both"/>
        <w:outlineLvl w:val="0"/>
        <w:rPr>
          <w:rFonts w:ascii="Times New Roman" w:hAnsi="Times New Roman"/>
          <w:sz w:val="22"/>
          <w:szCs w:val="22"/>
          <w:lang w:val="en-IE"/>
        </w:rPr>
      </w:pPr>
      <w:r w:rsidRPr="001E4B15">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1E4B15">
        <w:rPr>
          <w:rFonts w:ascii="Times New Roman" w:hAnsi="Times New Roman"/>
          <w:sz w:val="22"/>
          <w:szCs w:val="22"/>
          <w:lang w:val="en-IE"/>
        </w:rPr>
        <w:t>procedure</w:t>
      </w:r>
      <w:proofErr w:type="gramEnd"/>
      <w:r w:rsidRPr="001E4B15">
        <w:rPr>
          <w:rFonts w:ascii="Times New Roman" w:hAnsi="Times New Roman"/>
          <w:sz w:val="22"/>
          <w:szCs w:val="22"/>
          <w:lang w:val="en-IE"/>
        </w:rPr>
        <w:t xml:space="preserve">, it is strongly recommended to provide a translation into the language of the procedure, </w:t>
      </w:r>
      <w:proofErr w:type="gramStart"/>
      <w:r w:rsidRPr="001E4B15">
        <w:rPr>
          <w:rFonts w:ascii="Times New Roman" w:hAnsi="Times New Roman"/>
          <w:sz w:val="22"/>
          <w:szCs w:val="22"/>
          <w:lang w:val="en-IE"/>
        </w:rPr>
        <w:t>in order to</w:t>
      </w:r>
      <w:proofErr w:type="gramEnd"/>
      <w:r w:rsidRPr="001E4B15">
        <w:rPr>
          <w:rFonts w:ascii="Times New Roman" w:hAnsi="Times New Roman"/>
          <w:sz w:val="22"/>
          <w:szCs w:val="22"/>
          <w:lang w:val="en-IE"/>
        </w:rPr>
        <w:t xml:space="preserve"> facilitate the evaluation of the documents. </w:t>
      </w:r>
    </w:p>
    <w:p w14:paraId="1D21C259" w14:textId="77777777" w:rsidR="0048742A" w:rsidRPr="001E4B15" w:rsidRDefault="0048742A" w:rsidP="00D45256">
      <w:pPr>
        <w:ind w:left="567"/>
        <w:jc w:val="both"/>
        <w:outlineLvl w:val="0"/>
        <w:rPr>
          <w:rFonts w:ascii="Times New Roman" w:hAnsi="Times New Roman"/>
          <w:sz w:val="22"/>
          <w:szCs w:val="22"/>
          <w:lang w:val="en-IE"/>
        </w:rPr>
      </w:pPr>
      <w:r w:rsidRPr="001E4B15">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4AAC4178" w:rsidR="0048742A" w:rsidRPr="001E4B15" w:rsidRDefault="0048742A" w:rsidP="00D45256">
      <w:pPr>
        <w:ind w:left="567"/>
        <w:jc w:val="both"/>
        <w:rPr>
          <w:rFonts w:ascii="Times New Roman" w:hAnsi="Times New Roman"/>
          <w:sz w:val="22"/>
          <w:szCs w:val="22"/>
        </w:rPr>
      </w:pPr>
      <w:r w:rsidRPr="001E4B15">
        <w:rPr>
          <w:rFonts w:ascii="Times New Roman" w:hAnsi="Times New Roman"/>
          <w:sz w:val="22"/>
          <w:szCs w:val="22"/>
        </w:rPr>
        <w:t xml:space="preserve">If the successful tenderer fails to provide this documentary proof or statement or if the successful tenderer is found to have provided </w:t>
      </w:r>
      <w:r w:rsidR="002441E8" w:rsidRPr="001E4B15">
        <w:rPr>
          <w:rFonts w:ascii="Times New Roman" w:hAnsi="Times New Roman"/>
          <w:sz w:val="22"/>
          <w:szCs w:val="22"/>
        </w:rPr>
        <w:t xml:space="preserve">misrepresented </w:t>
      </w:r>
      <w:r w:rsidRPr="001E4B15">
        <w:rPr>
          <w:rFonts w:ascii="Times New Roman" w:hAnsi="Times New Roman"/>
          <w:sz w:val="22"/>
          <w:szCs w:val="22"/>
        </w:rPr>
        <w:t>information, the award will be considered null and void. In this case, the contracting authority may award the tender to the next lowest tenderer or cancel the tender procedure.</w:t>
      </w:r>
    </w:p>
    <w:p w14:paraId="3B82FCC1" w14:textId="77777777" w:rsidR="00EA1ADC" w:rsidRPr="001E4B15" w:rsidRDefault="00EA1ADC" w:rsidP="00D45256">
      <w:pPr>
        <w:ind w:left="567" w:hanging="567"/>
        <w:jc w:val="both"/>
        <w:rPr>
          <w:rFonts w:ascii="Times New Roman" w:hAnsi="Times New Roman"/>
          <w:b/>
          <w:sz w:val="28"/>
          <w:szCs w:val="28"/>
        </w:rPr>
      </w:pPr>
      <w:r w:rsidRPr="001E4B15">
        <w:rPr>
          <w:rFonts w:ascii="Times New Roman" w:hAnsi="Times New Roman"/>
          <w:b/>
          <w:sz w:val="28"/>
          <w:szCs w:val="28"/>
        </w:rPr>
        <w:t>21.</w:t>
      </w:r>
      <w:r w:rsidRPr="001E4B15">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1E4B15">
        <w:rPr>
          <w:rFonts w:ascii="Times New Roman" w:hAnsi="Times New Roman"/>
          <w:sz w:val="22"/>
        </w:rPr>
        <w:t>By submitting a tender, each tenderer accepts to receive notification of the outcome of the</w:t>
      </w:r>
      <w:r w:rsidRPr="00580F0C">
        <w:rPr>
          <w:rFonts w:ascii="Times New Roman" w:hAnsi="Times New Roman"/>
          <w:sz w:val="22"/>
        </w:rPr>
        <w:t xml:space="preserv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0" w:name="_Toc41467298"/>
      <w:bookmarkStart w:id="31" w:name="_Toc42488090"/>
      <w:r w:rsidRPr="00D45256">
        <w:rPr>
          <w:lang w:val="en-IE"/>
        </w:rPr>
        <w:t>22.</w:t>
      </w:r>
      <w:r w:rsidRPr="00D45256">
        <w:rPr>
          <w:lang w:val="en-IE"/>
        </w:rPr>
        <w:tab/>
      </w:r>
      <w:r w:rsidR="0047783A" w:rsidRPr="00D45256">
        <w:rPr>
          <w:lang w:val="en-IE"/>
        </w:rPr>
        <w:t>Signature of the contract and performance guarantee</w:t>
      </w:r>
      <w:bookmarkStart w:id="32" w:name="_Ref500418776"/>
      <w:bookmarkEnd w:id="30"/>
      <w:bookmarkEnd w:id="31"/>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lastRenderedPageBreak/>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2"/>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5D7F3ADF"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onditions is set at </w:t>
      </w:r>
      <w:r w:rsidR="00145542">
        <w:rPr>
          <w:rFonts w:ascii="Times New Roman" w:hAnsi="Times New Roman"/>
          <w:sz w:val="22"/>
          <w:szCs w:val="22"/>
          <w:lang w:val="en-GB"/>
        </w:rPr>
        <w:t>10</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w:t>
      </w:r>
      <w:proofErr w:type="gramStart"/>
      <w:r w:rsidR="008718AA" w:rsidRPr="00D45256">
        <w:rPr>
          <w:rFonts w:ascii="Times New Roman" w:hAnsi="Times New Roman"/>
          <w:sz w:val="22"/>
          <w:szCs w:val="22"/>
          <w:lang w:val="en-GB"/>
        </w:rPr>
        <w:t>on the basis of</w:t>
      </w:r>
      <w:proofErr w:type="gramEnd"/>
      <w:r w:rsidR="008718AA" w:rsidRPr="00D45256">
        <w:rPr>
          <w:rFonts w:ascii="Times New Roman" w:hAnsi="Times New Roman"/>
          <w:sz w:val="22"/>
          <w:szCs w:val="22"/>
          <w:lang w:val="en-GB"/>
        </w:rPr>
        <w:t xml:space="preserve">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3" w:name="_Toc41467299"/>
      <w:bookmarkStart w:id="34" w:name="_Toc42488091"/>
      <w:r w:rsidRPr="00D45256">
        <w:rPr>
          <w:lang w:val="en-IE"/>
        </w:rPr>
        <w:t>23.</w:t>
      </w:r>
      <w:r w:rsidRPr="00D45256">
        <w:rPr>
          <w:lang w:val="en-IE"/>
        </w:rPr>
        <w:tab/>
      </w:r>
      <w:r w:rsidR="0047783A" w:rsidRPr="00D45256">
        <w:rPr>
          <w:lang w:val="en-IE"/>
        </w:rPr>
        <w:t xml:space="preserve">Tender </w:t>
      </w:r>
      <w:r w:rsidR="0047783A" w:rsidRPr="00D45256">
        <w:rPr>
          <w:lang w:val="en-GB"/>
        </w:rPr>
        <w:t>guarantee</w:t>
      </w:r>
      <w:bookmarkEnd w:id="33"/>
      <w:bookmarkEnd w:id="34"/>
    </w:p>
    <w:p w14:paraId="37999967" w14:textId="34502EC9" w:rsidR="008718AA" w:rsidRPr="001E4B15" w:rsidRDefault="00D1398A" w:rsidP="00CE3FF3">
      <w:pPr>
        <w:ind w:firstLine="567"/>
        <w:jc w:val="both"/>
        <w:outlineLvl w:val="0"/>
        <w:rPr>
          <w:rFonts w:ascii="Times New Roman" w:hAnsi="Times New Roman"/>
          <w:sz w:val="22"/>
        </w:rPr>
      </w:pPr>
      <w:r w:rsidRPr="001E4B15">
        <w:rPr>
          <w:rFonts w:ascii="Times New Roman" w:hAnsi="Times New Roman"/>
          <w:sz w:val="22"/>
          <w:szCs w:val="22"/>
        </w:rPr>
        <w:t>No tender guarantee is required</w:t>
      </w:r>
      <w:r w:rsidRPr="001E4B15">
        <w:rPr>
          <w:rFonts w:ascii="Times New Roman" w:hAnsi="Times New Roman"/>
        </w:rPr>
        <w:t>.</w:t>
      </w:r>
    </w:p>
    <w:p w14:paraId="1A9EE00F" w14:textId="3EFF7844" w:rsidR="0047783A" w:rsidRPr="00D45256" w:rsidRDefault="00EA1ADC" w:rsidP="00D45256">
      <w:pPr>
        <w:pStyle w:val="Heading1"/>
        <w:rPr>
          <w:lang w:val="en-IE"/>
        </w:rPr>
      </w:pPr>
      <w:bookmarkStart w:id="35" w:name="_Toc41467300"/>
      <w:bookmarkStart w:id="36" w:name="_Toc42488092"/>
      <w:r w:rsidRPr="00D45256">
        <w:rPr>
          <w:lang w:val="en-IE"/>
        </w:rPr>
        <w:t>24.</w:t>
      </w:r>
      <w:r w:rsidR="00092841" w:rsidRPr="00D45256">
        <w:rPr>
          <w:lang w:val="en-IE"/>
        </w:rPr>
        <w:tab/>
      </w:r>
      <w:r w:rsidR="0047783A" w:rsidRPr="00D45256">
        <w:rPr>
          <w:lang w:val="en-IE"/>
        </w:rPr>
        <w:t>Ethics</w:t>
      </w:r>
      <w:r w:rsidR="00D920CD" w:rsidRPr="00D45256">
        <w:rPr>
          <w:lang w:val="en-IE"/>
        </w:rPr>
        <w:t>, values</w:t>
      </w:r>
      <w:r w:rsidR="001E7D1F" w:rsidRPr="00D45256">
        <w:rPr>
          <w:lang w:val="en-IE"/>
        </w:rPr>
        <w:t xml:space="preserve"> </w:t>
      </w:r>
      <w:bookmarkEnd w:id="35"/>
      <w:bookmarkEnd w:id="36"/>
      <w:r w:rsidR="00442FF2" w:rsidRPr="00D45256">
        <w:rPr>
          <w:lang w:val="en-IE"/>
        </w:rPr>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37" w:name="_Hlk161239645"/>
      <w:r w:rsidR="00656270" w:rsidRPr="00656270">
        <w:rPr>
          <w:rFonts w:ascii="Times New Roman" w:hAnsi="Times New Roman"/>
          <w:sz w:val="22"/>
          <w:u w:val="single"/>
          <w:lang w:val="en-GB"/>
        </w:rPr>
        <w:t>and of professional conflicting interest</w:t>
      </w:r>
      <w:bookmarkEnd w:id="37"/>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w:t>
      </w:r>
      <w:proofErr w:type="gramStart"/>
      <w:r w:rsidRPr="00D45256">
        <w:rPr>
          <w:rFonts w:ascii="Times New Roman" w:hAnsi="Times New Roman"/>
          <w:sz w:val="22"/>
          <w:szCs w:val="22"/>
          <w:lang w:val="en-GB"/>
        </w:rPr>
        <w:t>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w:t>
      </w:r>
      <w:proofErr w:type="gramEnd"/>
      <w:r w:rsidRPr="00D45256">
        <w:rPr>
          <w:rFonts w:ascii="Times New Roman" w:hAnsi="Times New Roman"/>
          <w:sz w:val="22"/>
          <w:szCs w:val="22"/>
          <w:lang w:val="en-GB"/>
        </w:rPr>
        <w:t xml:space="preserve">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38"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38"/>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w:t>
      </w:r>
      <w:r w:rsidRPr="00C348C0">
        <w:rPr>
          <w:rFonts w:ascii="Times New Roman" w:hAnsi="Times New Roman"/>
          <w:sz w:val="22"/>
          <w:szCs w:val="22"/>
        </w:rPr>
        <w:lastRenderedPageBreak/>
        <w:t>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39" w:name="_Toc42488093"/>
      <w:r w:rsidRPr="00D45256">
        <w:rPr>
          <w:lang w:val="en-IE"/>
        </w:rPr>
        <w:t>25.</w:t>
      </w:r>
      <w:r w:rsidRPr="00D45256">
        <w:rPr>
          <w:lang w:val="en-IE"/>
        </w:rPr>
        <w:tab/>
      </w:r>
      <w:r w:rsidR="0047783A" w:rsidRPr="00D45256">
        <w:rPr>
          <w:lang w:val="en-IE"/>
        </w:rPr>
        <w:t>Cancellation of the tender procedure</w:t>
      </w:r>
      <w:bookmarkEnd w:id="39"/>
    </w:p>
    <w:p w14:paraId="266FA0E6" w14:textId="77777777" w:rsidR="00032EDE" w:rsidRPr="001E4B15" w:rsidRDefault="0047783A" w:rsidP="0047783A">
      <w:pPr>
        <w:pStyle w:val="BodyText"/>
        <w:ind w:left="567"/>
        <w:jc w:val="both"/>
        <w:rPr>
          <w:rFonts w:ascii="Times New Roman" w:hAnsi="Times New Roman"/>
          <w:sz w:val="22"/>
        </w:rPr>
      </w:pPr>
      <w:r w:rsidRPr="001E4B15">
        <w:rPr>
          <w:rFonts w:ascii="Times New Roman" w:hAnsi="Times New Roman"/>
          <w:sz w:val="22"/>
        </w:rPr>
        <w:t>I</w:t>
      </w:r>
      <w:r w:rsidR="005005D7" w:rsidRPr="001E4B15">
        <w:rPr>
          <w:rFonts w:ascii="Times New Roman" w:hAnsi="Times New Roman"/>
          <w:sz w:val="22"/>
        </w:rPr>
        <w:t>f</w:t>
      </w:r>
      <w:r w:rsidRPr="001E4B15">
        <w:rPr>
          <w:rFonts w:ascii="Times New Roman" w:hAnsi="Times New Roman"/>
          <w:sz w:val="22"/>
        </w:rPr>
        <w:t xml:space="preserve"> a tender procedure </w:t>
      </w:r>
      <w:r w:rsidR="005005D7" w:rsidRPr="001E4B15">
        <w:rPr>
          <w:rFonts w:ascii="Times New Roman" w:hAnsi="Times New Roman"/>
          <w:sz w:val="22"/>
        </w:rPr>
        <w:t xml:space="preserve">is </w:t>
      </w:r>
      <w:r w:rsidRPr="001E4B15">
        <w:rPr>
          <w:rFonts w:ascii="Times New Roman" w:hAnsi="Times New Roman"/>
          <w:sz w:val="22"/>
        </w:rPr>
        <w:t>cancell</w:t>
      </w:r>
      <w:r w:rsidR="005005D7" w:rsidRPr="001E4B15">
        <w:rPr>
          <w:rFonts w:ascii="Times New Roman" w:hAnsi="Times New Roman"/>
          <w:sz w:val="22"/>
        </w:rPr>
        <w:t>ed</w:t>
      </w:r>
      <w:r w:rsidRPr="001E4B15">
        <w:rPr>
          <w:rFonts w:ascii="Times New Roman" w:hAnsi="Times New Roman"/>
          <w:sz w:val="22"/>
        </w:rPr>
        <w:t xml:space="preserve">, tenderers will be notified by the </w:t>
      </w:r>
      <w:r w:rsidR="00B93930" w:rsidRPr="001E4B15">
        <w:rPr>
          <w:rFonts w:ascii="Times New Roman" w:hAnsi="Times New Roman"/>
          <w:sz w:val="22"/>
        </w:rPr>
        <w:t>c</w:t>
      </w:r>
      <w:r w:rsidRPr="001E4B15">
        <w:rPr>
          <w:rFonts w:ascii="Times New Roman" w:hAnsi="Times New Roman"/>
          <w:sz w:val="22"/>
        </w:rPr>
        <w:t xml:space="preserve">ontracting </w:t>
      </w:r>
      <w:r w:rsidR="00B93930" w:rsidRPr="001E4B15">
        <w:rPr>
          <w:rFonts w:ascii="Times New Roman" w:hAnsi="Times New Roman"/>
          <w:sz w:val="22"/>
        </w:rPr>
        <w:t>a</w:t>
      </w:r>
      <w:r w:rsidRPr="001E4B15">
        <w:rPr>
          <w:rFonts w:ascii="Times New Roman" w:hAnsi="Times New Roman"/>
          <w:sz w:val="22"/>
        </w:rPr>
        <w:t xml:space="preserve">uthority. </w:t>
      </w:r>
    </w:p>
    <w:p w14:paraId="3C33C963" w14:textId="1D70BBC1" w:rsidR="0047783A" w:rsidRPr="001E4B15" w:rsidRDefault="0047783A" w:rsidP="0047783A">
      <w:pPr>
        <w:pStyle w:val="BodyText"/>
        <w:ind w:left="567"/>
        <w:jc w:val="both"/>
        <w:rPr>
          <w:rFonts w:ascii="Times New Roman" w:hAnsi="Times New Roman"/>
        </w:rPr>
      </w:pPr>
      <w:r w:rsidRPr="001E4B15">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1E4B15" w:rsidRDefault="0047783A" w:rsidP="00E82463">
      <w:pPr>
        <w:pStyle w:val="BodyText"/>
        <w:spacing w:after="0"/>
        <w:ind w:left="567"/>
        <w:jc w:val="both"/>
        <w:rPr>
          <w:rFonts w:ascii="Times New Roman" w:hAnsi="Times New Roman"/>
          <w:sz w:val="22"/>
        </w:rPr>
      </w:pPr>
      <w:r w:rsidRPr="001E4B15">
        <w:rPr>
          <w:rFonts w:ascii="Times New Roman" w:hAnsi="Times New Roman"/>
          <w:sz w:val="22"/>
        </w:rPr>
        <w:t>Cancellation may occur</w:t>
      </w:r>
      <w:r w:rsidR="001A64D9" w:rsidRPr="001E4B15">
        <w:rPr>
          <w:rFonts w:ascii="Times New Roman" w:hAnsi="Times New Roman"/>
          <w:sz w:val="22"/>
        </w:rPr>
        <w:t>, for example, if</w:t>
      </w:r>
      <w:r w:rsidRPr="001E4B15">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Heading1"/>
        <w:rPr>
          <w:lang w:val="en-IE"/>
        </w:rPr>
      </w:pPr>
      <w:r w:rsidRPr="00D45256">
        <w:rPr>
          <w:lang w:val="en-IE"/>
        </w:rPr>
        <w:lastRenderedPageBreak/>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4D19D6C2" w14:textId="77777777" w:rsidR="001B29E2" w:rsidRPr="001E4B15" w:rsidRDefault="001B29E2" w:rsidP="001B29E2">
      <w:pPr>
        <w:tabs>
          <w:tab w:val="left" w:pos="567"/>
        </w:tabs>
        <w:ind w:left="567"/>
        <w:jc w:val="both"/>
        <w:rPr>
          <w:rFonts w:ascii="Times New Roman" w:hAnsi="Times New Roman"/>
          <w:sz w:val="22"/>
          <w:szCs w:val="22"/>
        </w:rPr>
      </w:pPr>
      <w:r w:rsidRPr="001E4B15">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9B0D0D5" w14:textId="7350A8AA" w:rsidR="00A50D37" w:rsidRPr="001E4B15" w:rsidRDefault="001B29E2" w:rsidP="001B29E2">
      <w:pPr>
        <w:tabs>
          <w:tab w:val="left" w:pos="567"/>
        </w:tabs>
        <w:ind w:left="567"/>
        <w:jc w:val="both"/>
        <w:rPr>
          <w:rFonts w:ascii="Times New Roman" w:hAnsi="Times New Roman"/>
          <w:sz w:val="22"/>
          <w:szCs w:val="22"/>
          <w:lang w:eastAsia="en-GB"/>
        </w:rPr>
      </w:pPr>
      <w:r w:rsidRPr="001E4B15">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w:t>
      </w:r>
    </w:p>
    <w:p w14:paraId="2F4845EF" w14:textId="77777777" w:rsidR="0047783A" w:rsidRPr="001E4B15" w:rsidRDefault="00EA1ADC" w:rsidP="00D45256">
      <w:pPr>
        <w:pStyle w:val="Heading1"/>
        <w:rPr>
          <w:bCs/>
          <w:sz w:val="22"/>
          <w:szCs w:val="22"/>
          <w:lang w:val="en-IE"/>
        </w:rPr>
      </w:pPr>
      <w:r w:rsidRPr="001E4B15">
        <w:rPr>
          <w:lang w:val="en-IE"/>
        </w:rPr>
        <w:t>28.</w:t>
      </w:r>
      <w:r w:rsidRPr="001E4B15">
        <w:rPr>
          <w:lang w:val="en-IE"/>
        </w:rPr>
        <w:tab/>
      </w:r>
      <w:r w:rsidR="0047783A" w:rsidRPr="001E4B15">
        <w:rPr>
          <w:lang w:val="en-IE"/>
        </w:rPr>
        <w:t xml:space="preserve">Early </w:t>
      </w:r>
      <w:r w:rsidR="00503427" w:rsidRPr="001E4B15">
        <w:rPr>
          <w:lang w:val="en-IE"/>
        </w:rPr>
        <w:t>d</w:t>
      </w:r>
      <w:r w:rsidR="00E603B8" w:rsidRPr="001E4B15">
        <w:rPr>
          <w:lang w:val="en-IE"/>
        </w:rPr>
        <w:t xml:space="preserve">etection and </w:t>
      </w:r>
      <w:r w:rsidR="00503427" w:rsidRPr="001E4B15">
        <w:rPr>
          <w:lang w:val="en-IE"/>
        </w:rPr>
        <w:t>e</w:t>
      </w:r>
      <w:r w:rsidR="00E603B8" w:rsidRPr="001E4B15">
        <w:rPr>
          <w:lang w:val="en-IE"/>
        </w:rPr>
        <w:t xml:space="preserve">xclusion </w:t>
      </w:r>
      <w:r w:rsidR="00503427" w:rsidRPr="001E4B15">
        <w:rPr>
          <w:lang w:val="en-IE"/>
        </w:rPr>
        <w:t>s</w:t>
      </w:r>
      <w:r w:rsidR="0047783A" w:rsidRPr="001E4B15">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DED6F68" w14:textId="5BCEBBF2" w:rsidR="00A820FC" w:rsidRDefault="00E469FA" w:rsidP="0071717A">
      <w:pPr>
        <w:pStyle w:val="BodyText"/>
        <w:ind w:left="567"/>
        <w:jc w:val="both"/>
        <w:rPr>
          <w:rFonts w:ascii="Times New Roman" w:hAnsi="Times New Roman"/>
          <w:sz w:val="22"/>
          <w:szCs w:val="22"/>
        </w:rPr>
        <w:sectPr w:rsidR="00A820FC" w:rsidSect="00D45256">
          <w:footerReference w:type="even" r:id="rId11"/>
          <w:footerReference w:type="default" r:id="rId12"/>
          <w:footerReference w:type="first" r:id="rId13"/>
          <w:pgSz w:w="11906" w:h="16838"/>
          <w:pgMar w:top="993" w:right="1418" w:bottom="1134" w:left="1134" w:header="720" w:footer="469" w:gutter="567"/>
          <w:cols w:space="720"/>
        </w:sectPr>
      </w:pPr>
      <w:r w:rsidRPr="00E469FA">
        <w:rPr>
          <w:rFonts w:ascii="Times New Roman" w:hAnsi="Times New Roman"/>
          <w:sz w:val="22"/>
          <w:szCs w:val="22"/>
        </w:rPr>
        <w:t xml:space="preserve">For more information, you may consult the privacy statement available on </w:t>
      </w:r>
      <w:hyperlink r:id="rId14" w:history="1">
        <w:r w:rsidR="00A90D11" w:rsidRPr="001F117A">
          <w:rPr>
            <w:rStyle w:val="Hyperlink"/>
            <w:rFonts w:ascii="Times New Roman" w:hAnsi="Times New Roman"/>
            <w:sz w:val="22"/>
            <w:szCs w:val="22"/>
          </w:rPr>
          <w:t>http://ec.europa.eu/budget/explained/management/protecting/protect_en.cfm</w:t>
        </w:r>
      </w:hyperlink>
    </w:p>
    <w:p w14:paraId="4A5EA8D1" w14:textId="4C3E518B" w:rsidR="00A820FC" w:rsidRPr="00D621D6" w:rsidRDefault="00A820FC" w:rsidP="0071717A">
      <w:pPr>
        <w:keepNext/>
        <w:spacing w:before="360" w:after="100" w:afterAutospacing="1"/>
        <w:jc w:val="both"/>
        <w:outlineLvl w:val="1"/>
      </w:pPr>
    </w:p>
    <w:sectPr w:rsidR="00A820FC" w:rsidRPr="00D621D6" w:rsidSect="00723015">
      <w:footerReference w:type="default" r:id="rId15"/>
      <w:pgSz w:w="16838" w:h="11906" w:orient="landscape"/>
      <w:pgMar w:top="1134" w:right="709"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1622C" w14:textId="77777777" w:rsidR="0098402C" w:rsidRPr="006A5F84" w:rsidRDefault="0098402C">
      <w:r w:rsidRPr="006A5F84">
        <w:separator/>
      </w:r>
    </w:p>
  </w:endnote>
  <w:endnote w:type="continuationSeparator" w:id="0">
    <w:p w14:paraId="5AE29AD5" w14:textId="77777777" w:rsidR="0098402C" w:rsidRPr="006A5F84" w:rsidRDefault="0098402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ED61DF" w:rsidRDefault="00ED61D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ED61DF" w:rsidRDefault="00ED61DF"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1D461A6C" w:rsidR="00ED61DF" w:rsidRPr="001C3D34" w:rsidRDefault="00D85CD6" w:rsidP="00723015">
    <w:pPr>
      <w:pStyle w:val="Footer"/>
      <w:tabs>
        <w:tab w:val="clear" w:pos="4320"/>
        <w:tab w:val="clear" w:pos="8640"/>
        <w:tab w:val="right" w:pos="8789"/>
      </w:tabs>
      <w:spacing w:after="0"/>
      <w:ind w:right="6"/>
      <w:rPr>
        <w:rStyle w:val="PageNumber"/>
        <w:rFonts w:ascii="Times New Roman" w:hAnsi="Times New Roman"/>
        <w:b/>
        <w:sz w:val="18"/>
      </w:rPr>
    </w:pPr>
    <w:r w:rsidRPr="00D85CD6">
      <w:rPr>
        <w:rFonts w:ascii="Times New Roman" w:hAnsi="Times New Roman"/>
        <w:b/>
        <w:sz w:val="18"/>
      </w:rPr>
      <w:t>PRAG 2025.1 - applicable from January 2025</w:t>
    </w:r>
    <w:r w:rsidR="00ED61DF" w:rsidRPr="009423FB">
      <w:rPr>
        <w:rFonts w:ascii="Times New Roman" w:hAnsi="Times New Roman"/>
        <w:sz w:val="18"/>
        <w:szCs w:val="18"/>
      </w:rPr>
      <w:tab/>
    </w:r>
    <w:r w:rsidR="00ED61DF" w:rsidRPr="009423FB">
      <w:rPr>
        <w:rStyle w:val="PageNumber"/>
        <w:rFonts w:ascii="Times New Roman" w:hAnsi="Times New Roman"/>
        <w:sz w:val="18"/>
        <w:szCs w:val="18"/>
      </w:rPr>
      <w:t xml:space="preserve">Page </w:t>
    </w:r>
    <w:r w:rsidR="00ED61DF" w:rsidRPr="009423FB">
      <w:rPr>
        <w:rStyle w:val="PageNumber"/>
        <w:rFonts w:ascii="Times New Roman" w:hAnsi="Times New Roman"/>
        <w:sz w:val="18"/>
        <w:szCs w:val="18"/>
      </w:rPr>
      <w:fldChar w:fldCharType="begin"/>
    </w:r>
    <w:r w:rsidR="00ED61DF" w:rsidRPr="009423FB">
      <w:rPr>
        <w:rStyle w:val="PageNumber"/>
        <w:rFonts w:ascii="Times New Roman" w:hAnsi="Times New Roman"/>
        <w:sz w:val="18"/>
        <w:szCs w:val="18"/>
      </w:rPr>
      <w:instrText xml:space="preserve"> PAGE </w:instrText>
    </w:r>
    <w:r w:rsidR="00ED61DF" w:rsidRPr="009423FB">
      <w:rPr>
        <w:rStyle w:val="PageNumber"/>
        <w:rFonts w:ascii="Times New Roman" w:hAnsi="Times New Roman"/>
        <w:sz w:val="18"/>
        <w:szCs w:val="18"/>
      </w:rPr>
      <w:fldChar w:fldCharType="separate"/>
    </w:r>
    <w:r w:rsidR="0096647C">
      <w:rPr>
        <w:rStyle w:val="PageNumber"/>
        <w:rFonts w:ascii="Times New Roman" w:hAnsi="Times New Roman"/>
        <w:noProof/>
        <w:sz w:val="18"/>
        <w:szCs w:val="18"/>
      </w:rPr>
      <w:t>14</w:t>
    </w:r>
    <w:r w:rsidR="00ED61DF" w:rsidRPr="009423FB">
      <w:rPr>
        <w:rStyle w:val="PageNumber"/>
        <w:rFonts w:ascii="Times New Roman" w:hAnsi="Times New Roman"/>
        <w:sz w:val="18"/>
        <w:szCs w:val="18"/>
      </w:rPr>
      <w:fldChar w:fldCharType="end"/>
    </w:r>
    <w:r w:rsidR="00ED61DF" w:rsidRPr="009423FB">
      <w:rPr>
        <w:rStyle w:val="PageNumber"/>
        <w:rFonts w:ascii="Times New Roman" w:hAnsi="Times New Roman"/>
        <w:sz w:val="18"/>
        <w:szCs w:val="18"/>
      </w:rPr>
      <w:t xml:space="preserve"> of </w:t>
    </w:r>
    <w:r w:rsidR="00ED61DF" w:rsidRPr="009423FB">
      <w:rPr>
        <w:rStyle w:val="PageNumber"/>
        <w:rFonts w:ascii="Times New Roman" w:hAnsi="Times New Roman"/>
        <w:sz w:val="18"/>
        <w:szCs w:val="18"/>
      </w:rPr>
      <w:fldChar w:fldCharType="begin"/>
    </w:r>
    <w:r w:rsidR="00ED61DF" w:rsidRPr="009423FB">
      <w:rPr>
        <w:rStyle w:val="PageNumber"/>
        <w:rFonts w:ascii="Times New Roman" w:hAnsi="Times New Roman"/>
        <w:sz w:val="18"/>
        <w:szCs w:val="18"/>
      </w:rPr>
      <w:instrText xml:space="preserve"> NUMPAGES </w:instrText>
    </w:r>
    <w:r w:rsidR="00ED61DF" w:rsidRPr="009423FB">
      <w:rPr>
        <w:rStyle w:val="PageNumber"/>
        <w:rFonts w:ascii="Times New Roman" w:hAnsi="Times New Roman"/>
        <w:sz w:val="18"/>
        <w:szCs w:val="18"/>
      </w:rPr>
      <w:fldChar w:fldCharType="separate"/>
    </w:r>
    <w:r w:rsidR="0096647C">
      <w:rPr>
        <w:rStyle w:val="PageNumber"/>
        <w:rFonts w:ascii="Times New Roman" w:hAnsi="Times New Roman"/>
        <w:noProof/>
        <w:sz w:val="18"/>
        <w:szCs w:val="18"/>
      </w:rPr>
      <w:t>27</w:t>
    </w:r>
    <w:r w:rsidR="00ED61DF" w:rsidRPr="009423FB">
      <w:rPr>
        <w:rStyle w:val="PageNumber"/>
        <w:rFonts w:ascii="Times New Roman" w:hAnsi="Times New Roman"/>
        <w:sz w:val="18"/>
        <w:szCs w:val="18"/>
      </w:rPr>
      <w:fldChar w:fldCharType="end"/>
    </w:r>
  </w:p>
  <w:p w14:paraId="5D145687" w14:textId="7C394931" w:rsidR="00ED61DF" w:rsidRPr="009423FB" w:rsidRDefault="001239FF"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ED61DF" w:rsidRPr="006A5F84" w:rsidRDefault="00ED61DF"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ED61DF" w:rsidRPr="006A5F84" w:rsidRDefault="00ED61DF"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D5A263" w14:textId="77777777" w:rsidR="0098402C" w:rsidRPr="006A5F84" w:rsidRDefault="0098402C">
      <w:r w:rsidRPr="006A5F84">
        <w:separator/>
      </w:r>
    </w:p>
  </w:footnote>
  <w:footnote w:type="continuationSeparator" w:id="0">
    <w:p w14:paraId="43A55967" w14:textId="77777777" w:rsidR="0098402C" w:rsidRPr="006A5F84" w:rsidRDefault="0098402C">
      <w:r w:rsidRPr="006A5F84">
        <w:continuationSeparator/>
      </w:r>
    </w:p>
  </w:footnote>
  <w:footnote w:id="1">
    <w:p w14:paraId="560440CD" w14:textId="45B19D06" w:rsidR="00ED61DF" w:rsidRPr="00723015" w:rsidRDefault="00ED61DF" w:rsidP="00723015">
      <w:pPr>
        <w:pStyle w:val="FootnoteText"/>
      </w:pPr>
      <w:r w:rsidRPr="001E4B15">
        <w:rPr>
          <w:rStyle w:val="FootnoteReference"/>
          <w:lang w:val="en-GB"/>
        </w:rPr>
        <w:footnoteRef/>
      </w:r>
      <w:r w:rsidR="001C3D34" w:rsidRPr="001E4B15">
        <w:tab/>
      </w:r>
      <w:r w:rsidRPr="001E4B15">
        <w:t>DDP (</w:t>
      </w:r>
      <w:proofErr w:type="spellStart"/>
      <w:r w:rsidRPr="001E4B15">
        <w:t>Delivered</w:t>
      </w:r>
      <w:proofErr w:type="spellEnd"/>
      <w:r w:rsidRPr="001E4B15">
        <w:t xml:space="preserve"> Duty </w:t>
      </w:r>
      <w:proofErr w:type="spellStart"/>
      <w:r w:rsidRPr="001E4B15">
        <w:t>Paid</w:t>
      </w:r>
      <w:proofErr w:type="spellEnd"/>
      <w:r w:rsidRPr="001E4B15">
        <w:t>) / DAP (</w:t>
      </w:r>
      <w:proofErr w:type="spellStart"/>
      <w:r w:rsidRPr="001E4B15">
        <w:t>Delivered</w:t>
      </w:r>
      <w:proofErr w:type="spellEnd"/>
      <w:r w:rsidRPr="001E4B15">
        <w:t xml:space="preserve"> At Place) — Incoterms 2020 International </w:t>
      </w:r>
      <w:proofErr w:type="spellStart"/>
      <w:r w:rsidRPr="001E4B15">
        <w:t>Chamber</w:t>
      </w:r>
      <w:proofErr w:type="spellEnd"/>
      <w:r w:rsidRPr="001E4B15">
        <w:t xml:space="preserve"> of</w:t>
      </w:r>
      <w:r w:rsidRPr="00723015">
        <w:t xml:space="preserve"> Commerce </w:t>
      </w:r>
      <w:hyperlink r:id="rId1" w:history="1">
        <w:r>
          <w:rPr>
            <w:rStyle w:val="Hyperlink"/>
            <w:lang w:val="en-GB"/>
          </w:rPr>
          <w:t>http://www.iccwbo.org/incoterms/</w:t>
        </w:r>
      </w:hyperlink>
    </w:p>
  </w:footnote>
  <w:footnote w:id="2">
    <w:p w14:paraId="1021067D" w14:textId="7471076D" w:rsidR="006D653B" w:rsidRPr="00723015" w:rsidRDefault="006D653B" w:rsidP="00723015">
      <w:pPr>
        <w:pStyle w:val="FootnoteText"/>
      </w:pPr>
      <w:r>
        <w:rPr>
          <w:rStyle w:val="FootnoteReference"/>
        </w:rPr>
        <w:footnoteRef/>
      </w:r>
      <w:r w:rsidR="001C3D34" w:rsidRPr="00723015">
        <w:tab/>
      </w:r>
      <w:proofErr w:type="spellStart"/>
      <w:r w:rsidRPr="00723015">
        <w:t>Please</w:t>
      </w:r>
      <w:proofErr w:type="spellEnd"/>
      <w:r w:rsidRPr="00723015">
        <w:t xml:space="preserve"> note </w:t>
      </w:r>
      <w:proofErr w:type="spellStart"/>
      <w:r w:rsidRPr="00723015">
        <w:t>that</w:t>
      </w:r>
      <w:proofErr w:type="spellEnd"/>
      <w:r w:rsidRPr="00723015">
        <w:t xml:space="preserve"> the EU Official Journal </w:t>
      </w:r>
      <w:proofErr w:type="spellStart"/>
      <w:r w:rsidRPr="00723015">
        <w:t>contains</w:t>
      </w:r>
      <w:proofErr w:type="spellEnd"/>
      <w:r w:rsidRPr="00723015">
        <w:t xml:space="preserve"> the official </w:t>
      </w:r>
      <w:proofErr w:type="spellStart"/>
      <w:r w:rsidRPr="00723015">
        <w:t>list</w:t>
      </w:r>
      <w:proofErr w:type="spellEnd"/>
      <w:r w:rsidRPr="00723015">
        <w:t xml:space="preserve"> of </w:t>
      </w:r>
      <w:proofErr w:type="spellStart"/>
      <w:r w:rsidRPr="00723015">
        <w:t>entities</w:t>
      </w:r>
      <w:proofErr w:type="spellEnd"/>
      <w:r w:rsidRPr="00723015">
        <w:t xml:space="preserve"> </w:t>
      </w:r>
      <w:proofErr w:type="spellStart"/>
      <w:r w:rsidRPr="00723015">
        <w:t>subject</w:t>
      </w:r>
      <w:proofErr w:type="spellEnd"/>
      <w:r w:rsidRPr="00723015">
        <w:t xml:space="preserve"> to restrictive </w:t>
      </w:r>
      <w:proofErr w:type="spellStart"/>
      <w:r w:rsidRPr="00723015">
        <w:t>measures</w:t>
      </w:r>
      <w:proofErr w:type="spellEnd"/>
      <w:r w:rsidRPr="00723015">
        <w:t xml:space="preserve"> and, in case of </w:t>
      </w:r>
      <w:proofErr w:type="spellStart"/>
      <w:r w:rsidRPr="00723015">
        <w:t>conflict</w:t>
      </w:r>
      <w:proofErr w:type="spellEnd"/>
      <w:r w:rsidRPr="00723015">
        <w:t xml:space="preserve">, </w:t>
      </w:r>
      <w:proofErr w:type="spellStart"/>
      <w:r w:rsidRPr="00723015">
        <w:t>it</w:t>
      </w:r>
      <w:proofErr w:type="spellEnd"/>
      <w:r w:rsidRPr="00723015">
        <w:t xml:space="preserve"> </w:t>
      </w:r>
      <w:proofErr w:type="spellStart"/>
      <w:r w:rsidRPr="00723015">
        <w:t>prevails</w:t>
      </w:r>
      <w:proofErr w:type="spellEnd"/>
      <w:r w:rsidRPr="00723015">
        <w:t xml:space="preserve"> over the </w:t>
      </w:r>
      <w:proofErr w:type="spellStart"/>
      <w:r w:rsidRPr="00723015">
        <w:t>list</w:t>
      </w:r>
      <w:proofErr w:type="spellEnd"/>
      <w:r w:rsidRPr="00723015">
        <w:t xml:space="preserve"> of the </w:t>
      </w:r>
      <w:hyperlink r:id="rId2" w:anchor="/main" w:tgtFrame="_blank" w:history="1">
        <w:r w:rsidRPr="00E37E17">
          <w:rPr>
            <w:rStyle w:val="Hyperlink"/>
            <w:i/>
            <w:iCs/>
            <w:sz w:val="18"/>
            <w:szCs w:val="18"/>
            <w:lang w:val="en-US"/>
          </w:rPr>
          <w:t>EU Sanctions Map</w:t>
        </w:r>
      </w:hyperlink>
      <w:r w:rsidRPr="00723015">
        <w:t>.</w:t>
      </w:r>
    </w:p>
  </w:footnote>
  <w:footnote w:id="3">
    <w:p w14:paraId="7C36EC89" w14:textId="67B40648" w:rsidR="00ED61DF" w:rsidRPr="00723015" w:rsidRDefault="00ED61DF" w:rsidP="00723015">
      <w:pPr>
        <w:pStyle w:val="FootnoteText"/>
      </w:pPr>
      <w:r>
        <w:rPr>
          <w:rStyle w:val="FootnoteReference"/>
        </w:rPr>
        <w:footnoteRef/>
      </w:r>
      <w:r w:rsidR="001C3D34" w:rsidRPr="00723015">
        <w:tab/>
      </w:r>
      <w:proofErr w:type="spellStart"/>
      <w:r w:rsidRPr="00723015">
        <w:t>See</w:t>
      </w:r>
      <w:proofErr w:type="spellEnd"/>
      <w:r w:rsidRPr="00723015">
        <w:t xml:space="preserve"> PRAG Section 2.</w:t>
      </w:r>
      <w:r w:rsidR="00EB1B5D" w:rsidRPr="00723015">
        <w:t>4.2.3.(1)</w:t>
      </w:r>
    </w:p>
  </w:footnote>
  <w:footnote w:id="4">
    <w:p w14:paraId="1B3F3B8A" w14:textId="77777777" w:rsidR="003C18B5" w:rsidRPr="00723015" w:rsidRDefault="003C18B5" w:rsidP="003C18B5">
      <w:pPr>
        <w:pStyle w:val="FootnoteText"/>
      </w:pPr>
      <w:r>
        <w:rPr>
          <w:rStyle w:val="FootnoteReference"/>
        </w:rPr>
        <w:footnoteRef/>
      </w:r>
      <w:r w:rsidRPr="00723015">
        <w:t xml:space="preserve"> It </w:t>
      </w:r>
      <w:proofErr w:type="spellStart"/>
      <w:r w:rsidRPr="00723015">
        <w:t>is</w:t>
      </w:r>
      <w:proofErr w:type="spellEnd"/>
      <w:r w:rsidRPr="00723015">
        <w:t xml:space="preserve"> </w:t>
      </w:r>
      <w:proofErr w:type="spellStart"/>
      <w:r w:rsidRPr="00723015">
        <w:t>recommended</w:t>
      </w:r>
      <w:proofErr w:type="spellEnd"/>
      <w:r w:rsidRPr="00723015">
        <w:t xml:space="preserve"> to use </w:t>
      </w:r>
      <w:proofErr w:type="spellStart"/>
      <w:r w:rsidRPr="00723015">
        <w:t>registered</w:t>
      </w:r>
      <w:proofErr w:type="spellEnd"/>
      <w:r w:rsidRPr="00723015">
        <w:t xml:space="preserve"> mail in case the </w:t>
      </w:r>
      <w:proofErr w:type="spellStart"/>
      <w:r w:rsidRPr="00723015">
        <w:t>postmark</w:t>
      </w:r>
      <w:proofErr w:type="spellEnd"/>
      <w:r w:rsidRPr="00723015">
        <w:t xml:space="preserve"> </w:t>
      </w:r>
      <w:proofErr w:type="spellStart"/>
      <w:r w:rsidRPr="00723015">
        <w:t>would</w:t>
      </w:r>
      <w:proofErr w:type="spellEnd"/>
      <w:r w:rsidRPr="00723015">
        <w:t xml:space="preserve"> not </w:t>
      </w:r>
      <w:proofErr w:type="spellStart"/>
      <w:r w:rsidRPr="00723015">
        <w:t>be</w:t>
      </w:r>
      <w:proofErr w:type="spellEnd"/>
      <w:r w:rsidRPr="00723015">
        <w:t xml:space="preserve"> </w:t>
      </w:r>
      <w:proofErr w:type="spellStart"/>
      <w:r w:rsidRPr="00723015">
        <w:t>readable</w:t>
      </w:r>
      <w:proofErr w:type="spellEnd"/>
    </w:p>
  </w:footnote>
  <w:footnote w:id="5">
    <w:p w14:paraId="6A9C31DF" w14:textId="77777777" w:rsidR="003C18B5" w:rsidRPr="00723015" w:rsidRDefault="003C18B5" w:rsidP="003C18B5">
      <w:pPr>
        <w:pStyle w:val="FootnoteText"/>
      </w:pPr>
      <w:r w:rsidRPr="00F715D1">
        <w:rPr>
          <w:rStyle w:val="FootnoteReference"/>
          <w:lang w:val="en-GB"/>
        </w:rPr>
        <w:footnoteRef/>
      </w:r>
      <w:r w:rsidRPr="00F715D1">
        <w:tab/>
        <w:t>DDP (</w:t>
      </w:r>
      <w:proofErr w:type="spellStart"/>
      <w:r w:rsidRPr="00F715D1">
        <w:t>Delivered</w:t>
      </w:r>
      <w:proofErr w:type="spellEnd"/>
      <w:r w:rsidRPr="00F715D1">
        <w:t xml:space="preserve"> Duty </w:t>
      </w:r>
      <w:proofErr w:type="spellStart"/>
      <w:r w:rsidRPr="00F715D1">
        <w:t>Paid</w:t>
      </w:r>
      <w:proofErr w:type="spellEnd"/>
      <w:r w:rsidRPr="00F715D1">
        <w:t>)</w:t>
      </w:r>
      <w:r>
        <w:t xml:space="preserve"> </w:t>
      </w:r>
      <w:r w:rsidRPr="00F715D1">
        <w:t>—</w:t>
      </w:r>
      <w:r w:rsidRPr="00723015">
        <w:t xml:space="preserve"> Incoterms 2020 International </w:t>
      </w:r>
      <w:proofErr w:type="spellStart"/>
      <w:r w:rsidRPr="00723015">
        <w:t>Chamber</w:t>
      </w:r>
      <w:proofErr w:type="spellEnd"/>
      <w:r w:rsidRPr="00723015">
        <w:t xml:space="preserve"> of Commerce  </w:t>
      </w:r>
      <w:hyperlink r:id="rId3"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5A1774"/>
    <w:multiLevelType w:val="hybridMultilevel"/>
    <w:tmpl w:val="BCE4EA70"/>
    <w:lvl w:ilvl="0" w:tplc="FFFFFFFF">
      <w:start w:val="1"/>
      <w:numFmt w:val="bullet"/>
      <w:lvlText w:val=""/>
      <w:lvlJc w:val="left"/>
      <w:pPr>
        <w:ind w:left="1494" w:hanging="360"/>
      </w:pPr>
      <w:rPr>
        <w:rFonts w:ascii="Symbol" w:hAnsi="Symbol" w:hint="default"/>
      </w:rPr>
    </w:lvl>
    <w:lvl w:ilvl="1" w:tplc="FFFFFFFF">
      <w:start w:val="1"/>
      <w:numFmt w:val="bullet"/>
      <w:lvlText w:val="o"/>
      <w:lvlJc w:val="left"/>
      <w:pPr>
        <w:ind w:left="2214" w:hanging="360"/>
      </w:pPr>
      <w:rPr>
        <w:rFonts w:ascii="Courier New" w:hAnsi="Courier New" w:cs="Courier New" w:hint="default"/>
      </w:rPr>
    </w:lvl>
    <w:lvl w:ilvl="2" w:tplc="08090003">
      <w:start w:val="1"/>
      <w:numFmt w:val="bullet"/>
      <w:lvlText w:val="o"/>
      <w:lvlJc w:val="left"/>
      <w:pPr>
        <w:ind w:left="2934" w:hanging="360"/>
      </w:pPr>
      <w:rPr>
        <w:rFonts w:ascii="Courier New" w:hAnsi="Courier New" w:cs="Courier New" w:hint="default"/>
      </w:rPr>
    </w:lvl>
    <w:lvl w:ilvl="3" w:tplc="FFFFFFFF">
      <w:start w:val="1"/>
      <w:numFmt w:val="bullet"/>
      <w:lvlText w:val=""/>
      <w:lvlJc w:val="left"/>
      <w:pPr>
        <w:ind w:left="3654" w:hanging="360"/>
      </w:pPr>
      <w:rPr>
        <w:rFonts w:ascii="Symbol" w:hAnsi="Symbol" w:hint="default"/>
      </w:rPr>
    </w:lvl>
    <w:lvl w:ilvl="4" w:tplc="FFFFFFFF">
      <w:start w:val="1"/>
      <w:numFmt w:val="bullet"/>
      <w:lvlText w:val="o"/>
      <w:lvlJc w:val="left"/>
      <w:pPr>
        <w:ind w:left="4374" w:hanging="360"/>
      </w:pPr>
      <w:rPr>
        <w:rFonts w:ascii="Courier New" w:hAnsi="Courier New" w:cs="Courier New" w:hint="default"/>
      </w:rPr>
    </w:lvl>
    <w:lvl w:ilvl="5" w:tplc="FFFFFFFF">
      <w:start w:val="1"/>
      <w:numFmt w:val="bullet"/>
      <w:lvlText w:val=""/>
      <w:lvlJc w:val="left"/>
      <w:pPr>
        <w:ind w:left="5094" w:hanging="360"/>
      </w:pPr>
      <w:rPr>
        <w:rFonts w:ascii="Wingdings" w:hAnsi="Wingdings" w:hint="default"/>
      </w:rPr>
    </w:lvl>
    <w:lvl w:ilvl="6" w:tplc="FFFFFFFF">
      <w:start w:val="1"/>
      <w:numFmt w:val="bullet"/>
      <w:lvlText w:val=""/>
      <w:lvlJc w:val="left"/>
      <w:pPr>
        <w:ind w:left="5814" w:hanging="360"/>
      </w:pPr>
      <w:rPr>
        <w:rFonts w:ascii="Symbol" w:hAnsi="Symbol" w:hint="default"/>
      </w:rPr>
    </w:lvl>
    <w:lvl w:ilvl="7" w:tplc="FFFFFFFF">
      <w:start w:val="1"/>
      <w:numFmt w:val="bullet"/>
      <w:lvlText w:val="o"/>
      <w:lvlJc w:val="left"/>
      <w:pPr>
        <w:ind w:left="6534" w:hanging="360"/>
      </w:pPr>
      <w:rPr>
        <w:rFonts w:ascii="Courier New" w:hAnsi="Courier New" w:cs="Courier New" w:hint="default"/>
      </w:rPr>
    </w:lvl>
    <w:lvl w:ilvl="8" w:tplc="FFFFFFFF">
      <w:start w:val="1"/>
      <w:numFmt w:val="bullet"/>
      <w:lvlText w:val=""/>
      <w:lvlJc w:val="left"/>
      <w:pPr>
        <w:ind w:left="7254" w:hanging="360"/>
      </w:pPr>
      <w:rPr>
        <w:rFonts w:ascii="Wingdings" w:hAnsi="Wingdings" w:hint="default"/>
      </w:r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250A9D"/>
    <w:multiLevelType w:val="hybridMultilevel"/>
    <w:tmpl w:val="857C7EC8"/>
    <w:lvl w:ilvl="0" w:tplc="04090001">
      <w:start w:val="1"/>
      <w:numFmt w:val="bullet"/>
      <w:lvlText w:val=""/>
      <w:lvlJc w:val="left"/>
      <w:pPr>
        <w:ind w:left="1570" w:hanging="360"/>
      </w:pPr>
      <w:rPr>
        <w:rFonts w:ascii="Symbol" w:hAnsi="Symbol" w:hint="default"/>
      </w:rPr>
    </w:lvl>
    <w:lvl w:ilvl="1" w:tplc="04090003">
      <w:start w:val="1"/>
      <w:numFmt w:val="bullet"/>
      <w:lvlText w:val="o"/>
      <w:lvlJc w:val="left"/>
      <w:pPr>
        <w:ind w:left="2290" w:hanging="360"/>
      </w:pPr>
      <w:rPr>
        <w:rFonts w:ascii="Courier New" w:hAnsi="Courier New" w:cs="Courier New" w:hint="default"/>
      </w:rPr>
    </w:lvl>
    <w:lvl w:ilvl="2" w:tplc="04090005">
      <w:start w:val="1"/>
      <w:numFmt w:val="bullet"/>
      <w:lvlText w:val=""/>
      <w:lvlJc w:val="left"/>
      <w:pPr>
        <w:ind w:left="3010" w:hanging="360"/>
      </w:pPr>
      <w:rPr>
        <w:rFonts w:ascii="Wingdings" w:hAnsi="Wingdings" w:hint="default"/>
      </w:rPr>
    </w:lvl>
    <w:lvl w:ilvl="3" w:tplc="04090001">
      <w:start w:val="1"/>
      <w:numFmt w:val="bullet"/>
      <w:lvlText w:val=""/>
      <w:lvlJc w:val="left"/>
      <w:pPr>
        <w:ind w:left="3730" w:hanging="360"/>
      </w:pPr>
      <w:rPr>
        <w:rFonts w:ascii="Symbol" w:hAnsi="Symbol" w:hint="default"/>
      </w:rPr>
    </w:lvl>
    <w:lvl w:ilvl="4" w:tplc="04090003">
      <w:start w:val="1"/>
      <w:numFmt w:val="bullet"/>
      <w:lvlText w:val="o"/>
      <w:lvlJc w:val="left"/>
      <w:pPr>
        <w:ind w:left="4450" w:hanging="360"/>
      </w:pPr>
      <w:rPr>
        <w:rFonts w:ascii="Courier New" w:hAnsi="Courier New" w:cs="Courier New" w:hint="default"/>
      </w:rPr>
    </w:lvl>
    <w:lvl w:ilvl="5" w:tplc="04090005">
      <w:start w:val="1"/>
      <w:numFmt w:val="bullet"/>
      <w:lvlText w:val=""/>
      <w:lvlJc w:val="left"/>
      <w:pPr>
        <w:ind w:left="5170" w:hanging="360"/>
      </w:pPr>
      <w:rPr>
        <w:rFonts w:ascii="Wingdings" w:hAnsi="Wingdings" w:hint="default"/>
      </w:rPr>
    </w:lvl>
    <w:lvl w:ilvl="6" w:tplc="04090001">
      <w:start w:val="1"/>
      <w:numFmt w:val="bullet"/>
      <w:lvlText w:val=""/>
      <w:lvlJc w:val="left"/>
      <w:pPr>
        <w:ind w:left="5890" w:hanging="360"/>
      </w:pPr>
      <w:rPr>
        <w:rFonts w:ascii="Symbol" w:hAnsi="Symbol" w:hint="default"/>
      </w:rPr>
    </w:lvl>
    <w:lvl w:ilvl="7" w:tplc="04090003">
      <w:start w:val="1"/>
      <w:numFmt w:val="bullet"/>
      <w:lvlText w:val="o"/>
      <w:lvlJc w:val="left"/>
      <w:pPr>
        <w:ind w:left="6610" w:hanging="360"/>
      </w:pPr>
      <w:rPr>
        <w:rFonts w:ascii="Courier New" w:hAnsi="Courier New" w:cs="Courier New" w:hint="default"/>
      </w:rPr>
    </w:lvl>
    <w:lvl w:ilvl="8" w:tplc="04090005">
      <w:start w:val="1"/>
      <w:numFmt w:val="bullet"/>
      <w:lvlText w:val=""/>
      <w:lvlJc w:val="left"/>
      <w:pPr>
        <w:ind w:left="7330" w:hanging="360"/>
      </w:pPr>
      <w:rPr>
        <w:rFonts w:ascii="Wingdings" w:hAnsi="Wingdings" w:hint="default"/>
      </w:rPr>
    </w:lvl>
  </w:abstractNum>
  <w:abstractNum w:abstractNumId="15"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6"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7"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9"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2C7D0367"/>
    <w:multiLevelType w:val="hybridMultilevel"/>
    <w:tmpl w:val="BB16D494"/>
    <w:lvl w:ilvl="0" w:tplc="17C2CD90">
      <w:start w:val="1"/>
      <w:numFmt w:val="decimal"/>
      <w:lvlText w:val="%1)"/>
      <w:lvlJc w:val="left"/>
      <w:pPr>
        <w:ind w:left="1210" w:hanging="360"/>
      </w:pPr>
    </w:lvl>
    <w:lvl w:ilvl="1" w:tplc="04090019">
      <w:start w:val="1"/>
      <w:numFmt w:val="lowerLetter"/>
      <w:lvlText w:val="%2."/>
      <w:lvlJc w:val="left"/>
      <w:pPr>
        <w:ind w:left="1930" w:hanging="360"/>
      </w:pPr>
    </w:lvl>
    <w:lvl w:ilvl="2" w:tplc="0409001B">
      <w:start w:val="1"/>
      <w:numFmt w:val="lowerRoman"/>
      <w:lvlText w:val="%3."/>
      <w:lvlJc w:val="right"/>
      <w:pPr>
        <w:ind w:left="2650" w:hanging="180"/>
      </w:pPr>
    </w:lvl>
    <w:lvl w:ilvl="3" w:tplc="0409000F">
      <w:start w:val="1"/>
      <w:numFmt w:val="decimal"/>
      <w:lvlText w:val="%4."/>
      <w:lvlJc w:val="left"/>
      <w:pPr>
        <w:ind w:left="3370" w:hanging="360"/>
      </w:pPr>
    </w:lvl>
    <w:lvl w:ilvl="4" w:tplc="04090019">
      <w:start w:val="1"/>
      <w:numFmt w:val="lowerLetter"/>
      <w:lvlText w:val="%5."/>
      <w:lvlJc w:val="left"/>
      <w:pPr>
        <w:ind w:left="4090" w:hanging="360"/>
      </w:pPr>
    </w:lvl>
    <w:lvl w:ilvl="5" w:tplc="0409001B">
      <w:start w:val="1"/>
      <w:numFmt w:val="lowerRoman"/>
      <w:lvlText w:val="%6."/>
      <w:lvlJc w:val="right"/>
      <w:pPr>
        <w:ind w:left="4810" w:hanging="180"/>
      </w:pPr>
    </w:lvl>
    <w:lvl w:ilvl="6" w:tplc="0409000F">
      <w:start w:val="1"/>
      <w:numFmt w:val="decimal"/>
      <w:lvlText w:val="%7."/>
      <w:lvlJc w:val="left"/>
      <w:pPr>
        <w:ind w:left="5530" w:hanging="360"/>
      </w:pPr>
    </w:lvl>
    <w:lvl w:ilvl="7" w:tplc="04090019">
      <w:start w:val="1"/>
      <w:numFmt w:val="lowerLetter"/>
      <w:lvlText w:val="%8."/>
      <w:lvlJc w:val="left"/>
      <w:pPr>
        <w:ind w:left="6250" w:hanging="360"/>
      </w:pPr>
    </w:lvl>
    <w:lvl w:ilvl="8" w:tplc="0409001B">
      <w:start w:val="1"/>
      <w:numFmt w:val="lowerRoman"/>
      <w:lvlText w:val="%9."/>
      <w:lvlJc w:val="right"/>
      <w:pPr>
        <w:ind w:left="6970" w:hanging="180"/>
      </w:pPr>
    </w:lvl>
  </w:abstractNum>
  <w:abstractNum w:abstractNumId="21" w15:restartNumberingAfterBreak="0">
    <w:nsid w:val="2C8F24D6"/>
    <w:multiLevelType w:val="hybridMultilevel"/>
    <w:tmpl w:val="E0F8282A"/>
    <w:lvl w:ilvl="0" w:tplc="04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start w:val="1"/>
      <w:numFmt w:val="bullet"/>
      <w:lvlText w:val=""/>
      <w:lvlJc w:val="left"/>
      <w:pPr>
        <w:ind w:left="3654" w:hanging="360"/>
      </w:pPr>
      <w:rPr>
        <w:rFonts w:ascii="Symbol" w:hAnsi="Symbol" w:hint="default"/>
      </w:rPr>
    </w:lvl>
    <w:lvl w:ilvl="4" w:tplc="08090003">
      <w:start w:val="1"/>
      <w:numFmt w:val="bullet"/>
      <w:lvlText w:val="o"/>
      <w:lvlJc w:val="left"/>
      <w:pPr>
        <w:ind w:left="4374" w:hanging="360"/>
      </w:pPr>
      <w:rPr>
        <w:rFonts w:ascii="Courier New" w:hAnsi="Courier New" w:cs="Courier New" w:hint="default"/>
      </w:rPr>
    </w:lvl>
    <w:lvl w:ilvl="5" w:tplc="08090005">
      <w:start w:val="1"/>
      <w:numFmt w:val="bullet"/>
      <w:lvlText w:val=""/>
      <w:lvlJc w:val="left"/>
      <w:pPr>
        <w:ind w:left="5094" w:hanging="360"/>
      </w:pPr>
      <w:rPr>
        <w:rFonts w:ascii="Wingdings" w:hAnsi="Wingdings" w:hint="default"/>
      </w:rPr>
    </w:lvl>
    <w:lvl w:ilvl="6" w:tplc="08090001">
      <w:start w:val="1"/>
      <w:numFmt w:val="bullet"/>
      <w:lvlText w:val=""/>
      <w:lvlJc w:val="left"/>
      <w:pPr>
        <w:ind w:left="5814" w:hanging="360"/>
      </w:pPr>
      <w:rPr>
        <w:rFonts w:ascii="Symbol" w:hAnsi="Symbol" w:hint="default"/>
      </w:rPr>
    </w:lvl>
    <w:lvl w:ilvl="7" w:tplc="08090003">
      <w:start w:val="1"/>
      <w:numFmt w:val="bullet"/>
      <w:lvlText w:val="o"/>
      <w:lvlJc w:val="left"/>
      <w:pPr>
        <w:ind w:left="6534" w:hanging="360"/>
      </w:pPr>
      <w:rPr>
        <w:rFonts w:ascii="Courier New" w:hAnsi="Courier New" w:cs="Courier New" w:hint="default"/>
      </w:rPr>
    </w:lvl>
    <w:lvl w:ilvl="8" w:tplc="08090005">
      <w:start w:val="1"/>
      <w:numFmt w:val="bullet"/>
      <w:lvlText w:val=""/>
      <w:lvlJc w:val="left"/>
      <w:pPr>
        <w:ind w:left="7254" w:hanging="360"/>
      </w:pPr>
      <w:rPr>
        <w:rFonts w:ascii="Wingdings" w:hAnsi="Wingdings" w:hint="default"/>
      </w:rPr>
    </w:lvl>
  </w:abstractNum>
  <w:abstractNum w:abstractNumId="22" w15:restartNumberingAfterBreak="0">
    <w:nsid w:val="2D880118"/>
    <w:multiLevelType w:val="hybridMultilevel"/>
    <w:tmpl w:val="D088731A"/>
    <w:lvl w:ilvl="0" w:tplc="4A52A5B6">
      <w:start w:val="1"/>
      <w:numFmt w:val="decimal"/>
      <w:lvlText w:val="%1."/>
      <w:lvlJc w:val="left"/>
      <w:pPr>
        <w:tabs>
          <w:tab w:val="num" w:pos="644"/>
        </w:tabs>
        <w:ind w:left="644"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7"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2"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3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6"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3"/>
  </w:num>
  <w:num w:numId="2" w16cid:durableId="1955747445">
    <w:abstractNumId w:val="31"/>
  </w:num>
  <w:num w:numId="3" w16cid:durableId="1389453632">
    <w:abstractNumId w:val="12"/>
  </w:num>
  <w:num w:numId="4" w16cid:durableId="1408842436">
    <w:abstractNumId w:val="17"/>
  </w:num>
  <w:num w:numId="5" w16cid:durableId="1352296868">
    <w:abstractNumId w:val="34"/>
  </w:num>
  <w:num w:numId="6" w16cid:durableId="678043995">
    <w:abstractNumId w:val="11"/>
  </w:num>
  <w:num w:numId="7" w16cid:durableId="311720499">
    <w:abstractNumId w:val="6"/>
  </w:num>
  <w:num w:numId="8" w16cid:durableId="1145700428">
    <w:abstractNumId w:val="2"/>
  </w:num>
  <w:num w:numId="9" w16cid:durableId="1579052090">
    <w:abstractNumId w:val="23"/>
  </w:num>
  <w:num w:numId="10" w16cid:durableId="532690303">
    <w:abstractNumId w:val="5"/>
  </w:num>
  <w:num w:numId="11" w16cid:durableId="1871019500">
    <w:abstractNumId w:val="30"/>
  </w:num>
  <w:num w:numId="12" w16cid:durableId="403339021">
    <w:abstractNumId w:val="15"/>
  </w:num>
  <w:num w:numId="13" w16cid:durableId="1833980461">
    <w:abstractNumId w:val="8"/>
  </w:num>
  <w:num w:numId="14" w16cid:durableId="2072649474">
    <w:abstractNumId w:val="28"/>
  </w:num>
  <w:num w:numId="15" w16cid:durableId="291442896">
    <w:abstractNumId w:val="29"/>
  </w:num>
  <w:num w:numId="16" w16cid:durableId="1525287379">
    <w:abstractNumId w:val="10"/>
  </w:num>
  <w:num w:numId="17" w16cid:durableId="1909881739">
    <w:abstractNumId w:val="24"/>
  </w:num>
  <w:num w:numId="18" w16cid:durableId="915630303">
    <w:abstractNumId w:val="13"/>
  </w:num>
  <w:num w:numId="19" w16cid:durableId="1950309605">
    <w:abstractNumId w:val="13"/>
  </w:num>
  <w:num w:numId="20" w16cid:durableId="1324436481">
    <w:abstractNumId w:val="36"/>
  </w:num>
  <w:num w:numId="21" w16cid:durableId="1292786073">
    <w:abstractNumId w:val="26"/>
  </w:num>
  <w:num w:numId="22" w16cid:durableId="1355768147">
    <w:abstractNumId w:val="25"/>
  </w:num>
  <w:num w:numId="23" w16cid:durableId="1937470790">
    <w:abstractNumId w:val="3"/>
  </w:num>
  <w:num w:numId="24" w16cid:durableId="1797332941">
    <w:abstractNumId w:val="13"/>
  </w:num>
  <w:num w:numId="25" w16cid:durableId="2044936980">
    <w:abstractNumId w:val="13"/>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5"/>
  </w:num>
  <w:num w:numId="30" w16cid:durableId="1356081706">
    <w:abstractNumId w:val="31"/>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7"/>
  </w:num>
  <w:num w:numId="33" w16cid:durableId="1587566683">
    <w:abstractNumId w:val="19"/>
  </w:num>
  <w:num w:numId="34" w16cid:durableId="1034038534">
    <w:abstractNumId w:val="32"/>
  </w:num>
  <w:num w:numId="35" w16cid:durableId="799690020">
    <w:abstractNumId w:val="16"/>
  </w:num>
  <w:num w:numId="36" w16cid:durableId="1042022533">
    <w:abstractNumId w:val="18"/>
  </w:num>
  <w:num w:numId="37" w16cid:durableId="11497075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918001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16370828">
    <w:abstractNumId w:val="14"/>
  </w:num>
  <w:num w:numId="40" w16cid:durableId="790052772">
    <w:abstractNumId w:val="21"/>
  </w:num>
  <w:num w:numId="41" w16cid:durableId="179648430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5398"/>
    <w:rsid w:val="00026133"/>
    <w:rsid w:val="00027333"/>
    <w:rsid w:val="00030464"/>
    <w:rsid w:val="00032EDE"/>
    <w:rsid w:val="000364F7"/>
    <w:rsid w:val="00036E25"/>
    <w:rsid w:val="00037C20"/>
    <w:rsid w:val="00040153"/>
    <w:rsid w:val="00040CF1"/>
    <w:rsid w:val="00041516"/>
    <w:rsid w:val="000417E2"/>
    <w:rsid w:val="00043159"/>
    <w:rsid w:val="0004517D"/>
    <w:rsid w:val="0005060F"/>
    <w:rsid w:val="00050C50"/>
    <w:rsid w:val="00050CFE"/>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44A7D"/>
    <w:rsid w:val="00145542"/>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09FA"/>
    <w:rsid w:val="001A1207"/>
    <w:rsid w:val="001A2BC4"/>
    <w:rsid w:val="001A64D9"/>
    <w:rsid w:val="001A6C79"/>
    <w:rsid w:val="001B29E2"/>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4B15"/>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74B4F"/>
    <w:rsid w:val="0028364A"/>
    <w:rsid w:val="00284296"/>
    <w:rsid w:val="00290561"/>
    <w:rsid w:val="00294190"/>
    <w:rsid w:val="00297AE5"/>
    <w:rsid w:val="002A0041"/>
    <w:rsid w:val="002A1860"/>
    <w:rsid w:val="002A2D36"/>
    <w:rsid w:val="002A43CB"/>
    <w:rsid w:val="002A6367"/>
    <w:rsid w:val="002A6CB1"/>
    <w:rsid w:val="002A6DCA"/>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0E"/>
    <w:rsid w:val="00343102"/>
    <w:rsid w:val="0034393A"/>
    <w:rsid w:val="0034606F"/>
    <w:rsid w:val="00346DE3"/>
    <w:rsid w:val="00347B7E"/>
    <w:rsid w:val="003502E9"/>
    <w:rsid w:val="0035089B"/>
    <w:rsid w:val="00351351"/>
    <w:rsid w:val="003551F4"/>
    <w:rsid w:val="003568F8"/>
    <w:rsid w:val="00360344"/>
    <w:rsid w:val="003613D2"/>
    <w:rsid w:val="00364FFD"/>
    <w:rsid w:val="00367B1B"/>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18B5"/>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FAE"/>
    <w:rsid w:val="00417269"/>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551"/>
    <w:rsid w:val="004A5CA1"/>
    <w:rsid w:val="004A7ED9"/>
    <w:rsid w:val="004B21D7"/>
    <w:rsid w:val="004B5C33"/>
    <w:rsid w:val="004B7893"/>
    <w:rsid w:val="004C265E"/>
    <w:rsid w:val="004C35B5"/>
    <w:rsid w:val="004C43A5"/>
    <w:rsid w:val="004C4C93"/>
    <w:rsid w:val="004D20F9"/>
    <w:rsid w:val="004D2FD8"/>
    <w:rsid w:val="004D4FDE"/>
    <w:rsid w:val="004D6D1E"/>
    <w:rsid w:val="004D72C2"/>
    <w:rsid w:val="004E16BB"/>
    <w:rsid w:val="004E68CF"/>
    <w:rsid w:val="004F1264"/>
    <w:rsid w:val="004F2D4B"/>
    <w:rsid w:val="004F2E48"/>
    <w:rsid w:val="004F5C57"/>
    <w:rsid w:val="004F6EE9"/>
    <w:rsid w:val="004F7E7A"/>
    <w:rsid w:val="005005D7"/>
    <w:rsid w:val="00501FF0"/>
    <w:rsid w:val="0050273F"/>
    <w:rsid w:val="00502B15"/>
    <w:rsid w:val="00503427"/>
    <w:rsid w:val="00506A24"/>
    <w:rsid w:val="005071E3"/>
    <w:rsid w:val="00510A01"/>
    <w:rsid w:val="00515616"/>
    <w:rsid w:val="00516552"/>
    <w:rsid w:val="00521CE8"/>
    <w:rsid w:val="00525D9B"/>
    <w:rsid w:val="00526740"/>
    <w:rsid w:val="00531CAA"/>
    <w:rsid w:val="00533C8D"/>
    <w:rsid w:val="00535826"/>
    <w:rsid w:val="00536B4A"/>
    <w:rsid w:val="00537189"/>
    <w:rsid w:val="00542B8F"/>
    <w:rsid w:val="00542E0F"/>
    <w:rsid w:val="00545957"/>
    <w:rsid w:val="00552278"/>
    <w:rsid w:val="00553C0A"/>
    <w:rsid w:val="00555039"/>
    <w:rsid w:val="00555689"/>
    <w:rsid w:val="00555BFC"/>
    <w:rsid w:val="005567FC"/>
    <w:rsid w:val="00556923"/>
    <w:rsid w:val="00556C83"/>
    <w:rsid w:val="00561872"/>
    <w:rsid w:val="005634B2"/>
    <w:rsid w:val="0056553C"/>
    <w:rsid w:val="00567FD8"/>
    <w:rsid w:val="00570282"/>
    <w:rsid w:val="00574219"/>
    <w:rsid w:val="00575CB0"/>
    <w:rsid w:val="00580F0C"/>
    <w:rsid w:val="00581EF3"/>
    <w:rsid w:val="00582894"/>
    <w:rsid w:val="00586D6C"/>
    <w:rsid w:val="00587BC9"/>
    <w:rsid w:val="00591F23"/>
    <w:rsid w:val="00593550"/>
    <w:rsid w:val="0059371A"/>
    <w:rsid w:val="00597C67"/>
    <w:rsid w:val="005A2643"/>
    <w:rsid w:val="005A3424"/>
    <w:rsid w:val="005A3D33"/>
    <w:rsid w:val="005B2018"/>
    <w:rsid w:val="005B2646"/>
    <w:rsid w:val="005B35D7"/>
    <w:rsid w:val="005B75F7"/>
    <w:rsid w:val="005B767B"/>
    <w:rsid w:val="005C0EA1"/>
    <w:rsid w:val="005C1201"/>
    <w:rsid w:val="005C1D41"/>
    <w:rsid w:val="005C3558"/>
    <w:rsid w:val="005D72F7"/>
    <w:rsid w:val="005E0B76"/>
    <w:rsid w:val="005E2EE8"/>
    <w:rsid w:val="005E7616"/>
    <w:rsid w:val="005E7E79"/>
    <w:rsid w:val="005F1EC7"/>
    <w:rsid w:val="005F1F05"/>
    <w:rsid w:val="005F3C51"/>
    <w:rsid w:val="005F3E6B"/>
    <w:rsid w:val="005F62D0"/>
    <w:rsid w:val="005F7A76"/>
    <w:rsid w:val="005F7DC0"/>
    <w:rsid w:val="00601F75"/>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6270"/>
    <w:rsid w:val="0066145D"/>
    <w:rsid w:val="00661B3C"/>
    <w:rsid w:val="00663BBD"/>
    <w:rsid w:val="0066519D"/>
    <w:rsid w:val="00670E5E"/>
    <w:rsid w:val="00675D72"/>
    <w:rsid w:val="00677500"/>
    <w:rsid w:val="0068247E"/>
    <w:rsid w:val="00682804"/>
    <w:rsid w:val="00684438"/>
    <w:rsid w:val="0069153C"/>
    <w:rsid w:val="00691664"/>
    <w:rsid w:val="006917B2"/>
    <w:rsid w:val="00692095"/>
    <w:rsid w:val="00694259"/>
    <w:rsid w:val="00696FDD"/>
    <w:rsid w:val="006A5F84"/>
    <w:rsid w:val="006B0532"/>
    <w:rsid w:val="006B0AB1"/>
    <w:rsid w:val="006B3EAE"/>
    <w:rsid w:val="006B4EBF"/>
    <w:rsid w:val="006B5B42"/>
    <w:rsid w:val="006C2F05"/>
    <w:rsid w:val="006C513D"/>
    <w:rsid w:val="006D3BA1"/>
    <w:rsid w:val="006D4545"/>
    <w:rsid w:val="006D4CEC"/>
    <w:rsid w:val="006D653B"/>
    <w:rsid w:val="006E0EEA"/>
    <w:rsid w:val="006E1DB1"/>
    <w:rsid w:val="006E226A"/>
    <w:rsid w:val="006E324F"/>
    <w:rsid w:val="006E3CA5"/>
    <w:rsid w:val="006E431B"/>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16419"/>
    <w:rsid w:val="0071717A"/>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A2060"/>
    <w:rsid w:val="007A2DC9"/>
    <w:rsid w:val="007B10D9"/>
    <w:rsid w:val="007B15A3"/>
    <w:rsid w:val="007B65DB"/>
    <w:rsid w:val="007C0B91"/>
    <w:rsid w:val="007C0BDD"/>
    <w:rsid w:val="007C1656"/>
    <w:rsid w:val="007C4F61"/>
    <w:rsid w:val="007C52F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165EB"/>
    <w:rsid w:val="00820AEF"/>
    <w:rsid w:val="008227A5"/>
    <w:rsid w:val="00822E7E"/>
    <w:rsid w:val="008253C8"/>
    <w:rsid w:val="008272ED"/>
    <w:rsid w:val="00830ACF"/>
    <w:rsid w:val="00834AC6"/>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2830"/>
    <w:rsid w:val="008808CB"/>
    <w:rsid w:val="00880D7C"/>
    <w:rsid w:val="00882561"/>
    <w:rsid w:val="008847D1"/>
    <w:rsid w:val="00885882"/>
    <w:rsid w:val="008859E6"/>
    <w:rsid w:val="008915E9"/>
    <w:rsid w:val="00891D12"/>
    <w:rsid w:val="00892CE9"/>
    <w:rsid w:val="008934F5"/>
    <w:rsid w:val="008A048D"/>
    <w:rsid w:val="008A1182"/>
    <w:rsid w:val="008A2256"/>
    <w:rsid w:val="008A39B7"/>
    <w:rsid w:val="008B2A9C"/>
    <w:rsid w:val="008C14A7"/>
    <w:rsid w:val="008C284B"/>
    <w:rsid w:val="008C4E79"/>
    <w:rsid w:val="008C5A40"/>
    <w:rsid w:val="008C5DAA"/>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2542"/>
    <w:rsid w:val="00924BC2"/>
    <w:rsid w:val="009251E3"/>
    <w:rsid w:val="0093582A"/>
    <w:rsid w:val="009423FB"/>
    <w:rsid w:val="00943C7B"/>
    <w:rsid w:val="0094670B"/>
    <w:rsid w:val="00947FC3"/>
    <w:rsid w:val="00950813"/>
    <w:rsid w:val="0095148A"/>
    <w:rsid w:val="009514EC"/>
    <w:rsid w:val="009521D0"/>
    <w:rsid w:val="00961615"/>
    <w:rsid w:val="0096647C"/>
    <w:rsid w:val="00980A42"/>
    <w:rsid w:val="0098402C"/>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D012B"/>
    <w:rsid w:val="009D2938"/>
    <w:rsid w:val="009D3181"/>
    <w:rsid w:val="009D5314"/>
    <w:rsid w:val="009D5CB2"/>
    <w:rsid w:val="009E04E4"/>
    <w:rsid w:val="009E48A3"/>
    <w:rsid w:val="009E4FC6"/>
    <w:rsid w:val="009E5310"/>
    <w:rsid w:val="009E6BB7"/>
    <w:rsid w:val="009F1371"/>
    <w:rsid w:val="009F1837"/>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57C22"/>
    <w:rsid w:val="00A6110F"/>
    <w:rsid w:val="00A62073"/>
    <w:rsid w:val="00A62A7F"/>
    <w:rsid w:val="00A633C6"/>
    <w:rsid w:val="00A63E3C"/>
    <w:rsid w:val="00A65361"/>
    <w:rsid w:val="00A665A2"/>
    <w:rsid w:val="00A712B9"/>
    <w:rsid w:val="00A719F0"/>
    <w:rsid w:val="00A721A0"/>
    <w:rsid w:val="00A75650"/>
    <w:rsid w:val="00A75D60"/>
    <w:rsid w:val="00A7679D"/>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816"/>
    <w:rsid w:val="00AC0DE2"/>
    <w:rsid w:val="00AC2621"/>
    <w:rsid w:val="00AC58F6"/>
    <w:rsid w:val="00AC7636"/>
    <w:rsid w:val="00AD0140"/>
    <w:rsid w:val="00AD0D7A"/>
    <w:rsid w:val="00AD1130"/>
    <w:rsid w:val="00AD2D9A"/>
    <w:rsid w:val="00AD5536"/>
    <w:rsid w:val="00AE5192"/>
    <w:rsid w:val="00AE6600"/>
    <w:rsid w:val="00AE7D13"/>
    <w:rsid w:val="00AF2A32"/>
    <w:rsid w:val="00AF4052"/>
    <w:rsid w:val="00AF47CA"/>
    <w:rsid w:val="00AF507E"/>
    <w:rsid w:val="00B05868"/>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C25"/>
    <w:rsid w:val="00B44DC5"/>
    <w:rsid w:val="00B4644C"/>
    <w:rsid w:val="00B4772C"/>
    <w:rsid w:val="00B50CF5"/>
    <w:rsid w:val="00B51209"/>
    <w:rsid w:val="00B525A7"/>
    <w:rsid w:val="00B54093"/>
    <w:rsid w:val="00B569B1"/>
    <w:rsid w:val="00B60082"/>
    <w:rsid w:val="00B61CED"/>
    <w:rsid w:val="00B62C69"/>
    <w:rsid w:val="00B631B7"/>
    <w:rsid w:val="00B63280"/>
    <w:rsid w:val="00B70C0E"/>
    <w:rsid w:val="00B7329A"/>
    <w:rsid w:val="00B76124"/>
    <w:rsid w:val="00B80DE8"/>
    <w:rsid w:val="00B8161D"/>
    <w:rsid w:val="00B84EBC"/>
    <w:rsid w:val="00B86755"/>
    <w:rsid w:val="00B90C14"/>
    <w:rsid w:val="00B926B7"/>
    <w:rsid w:val="00B93930"/>
    <w:rsid w:val="00B965CD"/>
    <w:rsid w:val="00B9691D"/>
    <w:rsid w:val="00B96E4B"/>
    <w:rsid w:val="00B96F5E"/>
    <w:rsid w:val="00BA204C"/>
    <w:rsid w:val="00BA2D4C"/>
    <w:rsid w:val="00BA70CB"/>
    <w:rsid w:val="00BB0765"/>
    <w:rsid w:val="00BB2075"/>
    <w:rsid w:val="00BB2090"/>
    <w:rsid w:val="00BB2CCE"/>
    <w:rsid w:val="00BB51C8"/>
    <w:rsid w:val="00BB56D3"/>
    <w:rsid w:val="00BB65D4"/>
    <w:rsid w:val="00BB6A71"/>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10AC"/>
    <w:rsid w:val="00C0329C"/>
    <w:rsid w:val="00C055D9"/>
    <w:rsid w:val="00C07667"/>
    <w:rsid w:val="00C123BB"/>
    <w:rsid w:val="00C12AF0"/>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46A2"/>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DE2"/>
    <w:rsid w:val="00CD7F25"/>
    <w:rsid w:val="00CD7F92"/>
    <w:rsid w:val="00CE16A1"/>
    <w:rsid w:val="00CE3F10"/>
    <w:rsid w:val="00CE3FF3"/>
    <w:rsid w:val="00CE4FDE"/>
    <w:rsid w:val="00CF2D8C"/>
    <w:rsid w:val="00CF2DE2"/>
    <w:rsid w:val="00CF30C4"/>
    <w:rsid w:val="00CF386D"/>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35D6"/>
    <w:rsid w:val="00D73E36"/>
    <w:rsid w:val="00D75213"/>
    <w:rsid w:val="00D83D1B"/>
    <w:rsid w:val="00D85561"/>
    <w:rsid w:val="00D85CD6"/>
    <w:rsid w:val="00D8732D"/>
    <w:rsid w:val="00D90043"/>
    <w:rsid w:val="00D90831"/>
    <w:rsid w:val="00D920CD"/>
    <w:rsid w:val="00D92BA6"/>
    <w:rsid w:val="00D92FC8"/>
    <w:rsid w:val="00D93F90"/>
    <w:rsid w:val="00D950BA"/>
    <w:rsid w:val="00D979C6"/>
    <w:rsid w:val="00D97FDC"/>
    <w:rsid w:val="00DA4AB8"/>
    <w:rsid w:val="00DA4D57"/>
    <w:rsid w:val="00DB5F3B"/>
    <w:rsid w:val="00DB7EEF"/>
    <w:rsid w:val="00DC0881"/>
    <w:rsid w:val="00DC1645"/>
    <w:rsid w:val="00DC50E2"/>
    <w:rsid w:val="00DC54A0"/>
    <w:rsid w:val="00DC6C9C"/>
    <w:rsid w:val="00DC7EB2"/>
    <w:rsid w:val="00DD005F"/>
    <w:rsid w:val="00DD0624"/>
    <w:rsid w:val="00DD13B0"/>
    <w:rsid w:val="00DD6678"/>
    <w:rsid w:val="00DE13B8"/>
    <w:rsid w:val="00DE19B1"/>
    <w:rsid w:val="00DE378C"/>
    <w:rsid w:val="00DE7055"/>
    <w:rsid w:val="00DE71AB"/>
    <w:rsid w:val="00DF1A94"/>
    <w:rsid w:val="00DF25C5"/>
    <w:rsid w:val="00DF2FF3"/>
    <w:rsid w:val="00DF3134"/>
    <w:rsid w:val="00DF4031"/>
    <w:rsid w:val="00DF4327"/>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200D"/>
    <w:rsid w:val="00E340A7"/>
    <w:rsid w:val="00E34208"/>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77D39"/>
    <w:rsid w:val="00E80269"/>
    <w:rsid w:val="00E811F3"/>
    <w:rsid w:val="00E82463"/>
    <w:rsid w:val="00E84351"/>
    <w:rsid w:val="00E84F50"/>
    <w:rsid w:val="00E85F91"/>
    <w:rsid w:val="00E864BB"/>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41A6"/>
    <w:rsid w:val="00F0574A"/>
    <w:rsid w:val="00F10944"/>
    <w:rsid w:val="00F163FF"/>
    <w:rsid w:val="00F166D4"/>
    <w:rsid w:val="00F16860"/>
    <w:rsid w:val="00F25C38"/>
    <w:rsid w:val="00F33A99"/>
    <w:rsid w:val="00F35DE1"/>
    <w:rsid w:val="00F40E0E"/>
    <w:rsid w:val="00F42488"/>
    <w:rsid w:val="00F45106"/>
    <w:rsid w:val="00F4528C"/>
    <w:rsid w:val="00F5422C"/>
    <w:rsid w:val="00F560DD"/>
    <w:rsid w:val="00F56D4C"/>
    <w:rsid w:val="00F634D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5ECD"/>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uiPriority w:val="99"/>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561872"/>
    <w:rPr>
      <w:color w:val="605E5C"/>
      <w:shd w:val="clear" w:color="auto" w:fill="E1DFDD"/>
    </w:rPr>
  </w:style>
  <w:style w:type="paragraph" w:customStyle="1" w:styleId="CharCharChar">
    <w:name w:val="Char Char Char"/>
    <w:basedOn w:val="Normal"/>
    <w:link w:val="FootnoteReference"/>
    <w:uiPriority w:val="99"/>
    <w:rsid w:val="00DF4031"/>
    <w:pPr>
      <w:spacing w:before="0" w:after="0" w:line="240" w:lineRule="exact"/>
    </w:pPr>
    <w:rPr>
      <w:rFonts w:ascii="Times New Roman" w:hAnsi="Times New Roman"/>
      <w:snapToGrid/>
      <w:vertAlign w:val="superscript"/>
      <w:lang w:eastAsia="en-GB"/>
    </w:rPr>
  </w:style>
  <w:style w:type="paragraph" w:customStyle="1" w:styleId="Default">
    <w:name w:val="Default"/>
    <w:rsid w:val="00B05868"/>
    <w:pPr>
      <w:autoSpaceDE w:val="0"/>
      <w:autoSpaceDN w:val="0"/>
      <w:adjustRightInd w:val="0"/>
    </w:pPr>
    <w:rPr>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36338719">
      <w:bodyDiv w:val="1"/>
      <w:marLeft w:val="0"/>
      <w:marRight w:val="0"/>
      <w:marTop w:val="0"/>
      <w:marBottom w:val="0"/>
      <w:divBdr>
        <w:top w:val="none" w:sz="0" w:space="0" w:color="auto"/>
        <w:left w:val="none" w:sz="0" w:space="0" w:color="auto"/>
        <w:bottom w:val="none" w:sz="0" w:space="0" w:color="auto"/>
        <w:right w:val="none" w:sz="0" w:space="0" w:color="auto"/>
      </w:divBdr>
    </w:div>
    <w:div w:id="137765576">
      <w:bodyDiv w:val="1"/>
      <w:marLeft w:val="0"/>
      <w:marRight w:val="0"/>
      <w:marTop w:val="0"/>
      <w:marBottom w:val="0"/>
      <w:divBdr>
        <w:top w:val="none" w:sz="0" w:space="0" w:color="auto"/>
        <w:left w:val="none" w:sz="0" w:space="0" w:color="auto"/>
        <w:bottom w:val="none" w:sz="0" w:space="0" w:color="auto"/>
        <w:right w:val="none" w:sz="0" w:space="0" w:color="auto"/>
      </w:divBdr>
    </w:div>
    <w:div w:id="645359070">
      <w:bodyDiv w:val="1"/>
      <w:marLeft w:val="0"/>
      <w:marRight w:val="0"/>
      <w:marTop w:val="0"/>
      <w:marBottom w:val="0"/>
      <w:divBdr>
        <w:top w:val="none" w:sz="0" w:space="0" w:color="auto"/>
        <w:left w:val="none" w:sz="0" w:space="0" w:color="auto"/>
        <w:bottom w:val="none" w:sz="0" w:space="0" w:color="auto"/>
        <w:right w:val="none" w:sz="0" w:space="0" w:color="auto"/>
      </w:divBdr>
    </w:div>
    <w:div w:id="678509665">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921453677">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02886207">
      <w:bodyDiv w:val="1"/>
      <w:marLeft w:val="0"/>
      <w:marRight w:val="0"/>
      <w:marTop w:val="0"/>
      <w:marBottom w:val="0"/>
      <w:divBdr>
        <w:top w:val="none" w:sz="0" w:space="0" w:color="auto"/>
        <w:left w:val="none" w:sz="0" w:space="0" w:color="auto"/>
        <w:bottom w:val="none" w:sz="0" w:space="0" w:color="auto"/>
        <w:right w:val="none" w:sz="0" w:space="0" w:color="auto"/>
      </w:divBdr>
    </w:div>
    <w:div w:id="1418862855">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17711701">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03899902">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marijana.rilke@sombor.rs"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yperlink" Target="http://ec.europa.eu/budget/explained/management/protecting/protect_en.cf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www.sanctionsmap.eu/"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15</Pages>
  <Words>6205</Words>
  <Characters>35373</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41496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Saša Bošnjak</cp:lastModifiedBy>
  <cp:revision>41</cp:revision>
  <cp:lastPrinted>2018-04-13T13:21:00Z</cp:lastPrinted>
  <dcterms:created xsi:type="dcterms:W3CDTF">2024-06-17T14:07:00Z</dcterms:created>
  <dcterms:modified xsi:type="dcterms:W3CDTF">2025-04-29T03:38:00Z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