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w:t>
      </w:r>
      <w:proofErr w:type="gramStart"/>
      <w:r w:rsidR="00556F39" w:rsidRPr="00556F39">
        <w:rPr>
          <w:rFonts w:ascii="Times New Roman" w:hAnsi="Times New Roman"/>
          <w:sz w:val="22"/>
          <w:szCs w:val="22"/>
        </w:rPr>
        <w:t>particular situations</w:t>
      </w:r>
      <w:proofErr w:type="gramEnd"/>
      <w:r w:rsidR="00556F39" w:rsidRPr="00556F39">
        <w:rPr>
          <w:rFonts w:ascii="Times New Roman" w:hAnsi="Times New Roman"/>
          <w:sz w:val="22"/>
          <w:szCs w:val="22"/>
        </w:rPr>
        <w:t xml:space="preserve">. </w:t>
      </w:r>
      <w:bookmarkEnd w:id="1"/>
    </w:p>
    <w:p w14:paraId="17152D5C" w14:textId="77777777" w:rsidR="00A13EB8" w:rsidRPr="00B5440B" w:rsidRDefault="00A13EB8" w:rsidP="00B5440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p>
    <w:p w14:paraId="7C90C31E" w14:textId="16073C0E" w:rsidR="00A13EB8" w:rsidRPr="0043240C" w:rsidRDefault="00A13EB8" w:rsidP="00332EF7">
      <w:pPr>
        <w:spacing w:before="0"/>
        <w:ind w:left="709" w:hanging="142"/>
        <w:jc w:val="both"/>
        <w:rPr>
          <w:rFonts w:ascii="Times New Roman" w:hAnsi="Times New Roman"/>
          <w:sz w:val="22"/>
        </w:rPr>
      </w:pPr>
      <w:r w:rsidRPr="0043240C">
        <w:rPr>
          <w:rFonts w:ascii="Times New Roman" w:hAnsi="Times New Roman"/>
          <w:sz w:val="22"/>
        </w:rPr>
        <w:t xml:space="preserve">the </w:t>
      </w:r>
      <w:r w:rsidR="00332EF7" w:rsidRPr="001E4B15">
        <w:rPr>
          <w:rFonts w:ascii="Times New Roman" w:hAnsi="Times New Roman"/>
          <w:sz w:val="22"/>
        </w:rPr>
        <w:t xml:space="preserve">supply, delivery, unloading, siting and installation, </w:t>
      </w:r>
      <w:r w:rsidR="00884325" w:rsidRPr="001E4B15">
        <w:rPr>
          <w:rFonts w:ascii="Times New Roman" w:hAnsi="Times New Roman"/>
          <w:sz w:val="22"/>
        </w:rPr>
        <w:t>commissioning, maintenance</w:t>
      </w:r>
      <w:r w:rsidR="00332EF7" w:rsidRPr="001E4B15">
        <w:rPr>
          <w:rFonts w:ascii="Times New Roman" w:hAnsi="Times New Roman"/>
          <w:sz w:val="22"/>
        </w:rPr>
        <w:t>,</w:t>
      </w:r>
    </w:p>
    <w:p w14:paraId="589A51D4" w14:textId="7816B33E" w:rsidR="00A13EB8" w:rsidRPr="0043240C" w:rsidRDefault="00A13EB8" w:rsidP="00B5440B">
      <w:pPr>
        <w:spacing w:before="0"/>
        <w:jc w:val="both"/>
        <w:rPr>
          <w:rFonts w:ascii="Times New Roman" w:hAnsi="Times New Roman"/>
          <w:sz w:val="22"/>
        </w:rPr>
      </w:pPr>
      <w:r w:rsidRPr="0043240C">
        <w:rPr>
          <w:rFonts w:ascii="Times New Roman" w:hAnsi="Times New Roman"/>
          <w:sz w:val="22"/>
        </w:rPr>
        <w:t>of the following supplies:</w:t>
      </w:r>
    </w:p>
    <w:p w14:paraId="24E9C2BA" w14:textId="77777777" w:rsidR="00A3002D" w:rsidRPr="001E4B15" w:rsidRDefault="00A3002D" w:rsidP="00A3002D">
      <w:pPr>
        <w:pStyle w:val="Heading2"/>
        <w:keepNext w:val="0"/>
        <w:spacing w:before="0"/>
        <w:jc w:val="both"/>
        <w:rPr>
          <w:rFonts w:ascii="Times New Roman" w:hAnsi="Times New Roman"/>
          <w:sz w:val="22"/>
        </w:rPr>
      </w:pPr>
      <w:bookmarkStart w:id="3" w:name="_Hlk132980677"/>
    </w:p>
    <w:tbl>
      <w:tblPr>
        <w:tblW w:w="6690" w:type="dxa"/>
        <w:tblInd w:w="648" w:type="dxa"/>
        <w:tblLook w:val="04A0" w:firstRow="1" w:lastRow="0" w:firstColumn="1" w:lastColumn="0" w:noHBand="0" w:noVBand="1"/>
      </w:tblPr>
      <w:tblGrid>
        <w:gridCol w:w="948"/>
        <w:gridCol w:w="3099"/>
        <w:gridCol w:w="1089"/>
        <w:gridCol w:w="1554"/>
      </w:tblGrid>
      <w:tr w:rsidR="00A3002D" w:rsidRPr="001E4B15" w14:paraId="33FCEAE4" w14:textId="77777777" w:rsidTr="00F630CA">
        <w:tc>
          <w:tcPr>
            <w:tcW w:w="948" w:type="dxa"/>
            <w:vAlign w:val="center"/>
            <w:hideMark/>
          </w:tcPr>
          <w:p w14:paraId="36E01DFB" w14:textId="77777777" w:rsidR="00A3002D" w:rsidRPr="001E4B15" w:rsidRDefault="00A3002D" w:rsidP="00F630CA">
            <w:pPr>
              <w:spacing w:before="0"/>
              <w:ind w:left="567"/>
              <w:jc w:val="both"/>
              <w:rPr>
                <w:rFonts w:ascii="Times New Roman" w:hAnsi="Times New Roman"/>
                <w:b/>
                <w:sz w:val="22"/>
              </w:rPr>
            </w:pPr>
            <w:r w:rsidRPr="001E4B15">
              <w:rPr>
                <w:rFonts w:ascii="Times New Roman" w:hAnsi="Times New Roman"/>
                <w:b/>
                <w:sz w:val="22"/>
              </w:rPr>
              <w:t>1.</w:t>
            </w:r>
          </w:p>
        </w:tc>
        <w:tc>
          <w:tcPr>
            <w:tcW w:w="3099" w:type="dxa"/>
            <w:hideMark/>
          </w:tcPr>
          <w:p w14:paraId="4EEAF9CE" w14:textId="77777777" w:rsidR="00A3002D" w:rsidRPr="001E4B15" w:rsidRDefault="00A3002D" w:rsidP="00F630CA">
            <w:pPr>
              <w:spacing w:before="0"/>
              <w:ind w:left="567"/>
              <w:jc w:val="both"/>
              <w:rPr>
                <w:rFonts w:ascii="Times New Roman" w:hAnsi="Times New Roman"/>
                <w:sz w:val="22"/>
              </w:rPr>
            </w:pPr>
            <w:r w:rsidRPr="001E4B15">
              <w:rPr>
                <w:rFonts w:ascii="Times New Roman" w:hAnsi="Times New Roman"/>
                <w:b/>
                <w:sz w:val="22"/>
              </w:rPr>
              <w:t>Solar Power Plants</w:t>
            </w:r>
          </w:p>
        </w:tc>
        <w:tc>
          <w:tcPr>
            <w:tcW w:w="1089" w:type="dxa"/>
            <w:vAlign w:val="center"/>
            <w:hideMark/>
          </w:tcPr>
          <w:p w14:paraId="277E2296" w14:textId="77777777" w:rsidR="00A3002D" w:rsidRPr="001E4B15" w:rsidRDefault="00A3002D" w:rsidP="00F630CA">
            <w:pPr>
              <w:spacing w:before="0"/>
              <w:ind w:left="567"/>
              <w:jc w:val="both"/>
              <w:rPr>
                <w:rFonts w:ascii="Times New Roman" w:hAnsi="Times New Roman"/>
                <w:b/>
                <w:sz w:val="22"/>
              </w:rPr>
            </w:pPr>
            <w:r w:rsidRPr="001E4B15">
              <w:rPr>
                <w:rFonts w:ascii="Times New Roman" w:hAnsi="Times New Roman"/>
                <w:b/>
                <w:sz w:val="22"/>
              </w:rPr>
              <w:t>qty</w:t>
            </w:r>
          </w:p>
        </w:tc>
        <w:tc>
          <w:tcPr>
            <w:tcW w:w="1554" w:type="dxa"/>
            <w:vAlign w:val="center"/>
            <w:hideMark/>
          </w:tcPr>
          <w:p w14:paraId="2D01AAA9" w14:textId="77777777" w:rsidR="00A3002D" w:rsidRPr="001E4B15" w:rsidRDefault="00A3002D" w:rsidP="00F630CA">
            <w:pPr>
              <w:spacing w:before="0"/>
              <w:ind w:left="567"/>
              <w:jc w:val="both"/>
              <w:rPr>
                <w:rFonts w:ascii="Times New Roman" w:hAnsi="Times New Roman"/>
                <w:sz w:val="22"/>
              </w:rPr>
            </w:pPr>
            <w:r w:rsidRPr="001E4B15">
              <w:rPr>
                <w:rFonts w:ascii="Times New Roman" w:hAnsi="Times New Roman"/>
                <w:b/>
                <w:sz w:val="22"/>
              </w:rPr>
              <w:t>2 sets</w:t>
            </w:r>
          </w:p>
        </w:tc>
      </w:tr>
    </w:tbl>
    <w:p w14:paraId="08CBE9F9" w14:textId="77777777" w:rsidR="00A3002D" w:rsidRPr="001E4B15" w:rsidRDefault="00A3002D" w:rsidP="00A3002D">
      <w:pPr>
        <w:pStyle w:val="Heading2"/>
        <w:keepNext w:val="0"/>
        <w:spacing w:before="0"/>
        <w:ind w:left="567"/>
        <w:jc w:val="both"/>
        <w:rPr>
          <w:rFonts w:ascii="Times New Roman" w:hAnsi="Times New Roman"/>
          <w:sz w:val="22"/>
        </w:rPr>
      </w:pPr>
    </w:p>
    <w:p w14:paraId="11DBB154" w14:textId="77777777" w:rsidR="00A3002D" w:rsidRPr="001E4B15" w:rsidRDefault="00A3002D" w:rsidP="00A3002D">
      <w:pPr>
        <w:spacing w:before="0"/>
        <w:ind w:left="567"/>
        <w:jc w:val="both"/>
        <w:rPr>
          <w:rFonts w:ascii="Times New Roman" w:hAnsi="Times New Roman"/>
          <w:sz w:val="22"/>
        </w:rPr>
      </w:pPr>
      <w:r w:rsidRPr="001E4B15">
        <w:rPr>
          <w:rFonts w:ascii="Times New Roman" w:hAnsi="Times New Roman"/>
          <w:sz w:val="22"/>
        </w:rPr>
        <w:t xml:space="preserve">at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02"/>
        <w:gridCol w:w="2128"/>
        <w:gridCol w:w="1673"/>
        <w:gridCol w:w="1383"/>
        <w:gridCol w:w="1472"/>
      </w:tblGrid>
      <w:tr w:rsidR="00A3002D" w:rsidRPr="001E4B15" w14:paraId="74C7C908" w14:textId="77777777" w:rsidTr="00F630CA">
        <w:trPr>
          <w:tblHeader/>
          <w:tblCellSpacing w:w="15" w:type="dxa"/>
        </w:trPr>
        <w:tc>
          <w:tcPr>
            <w:tcW w:w="2835" w:type="dxa"/>
            <w:hideMark/>
          </w:tcPr>
          <w:p w14:paraId="342E9C03" w14:textId="77777777" w:rsidR="00A3002D" w:rsidRPr="001E4B15" w:rsidRDefault="00A3002D" w:rsidP="00F630CA">
            <w:pPr>
              <w:pStyle w:val="Default"/>
              <w:rPr>
                <w:b/>
                <w:bCs/>
                <w:color w:val="auto"/>
                <w:sz w:val="22"/>
                <w:szCs w:val="22"/>
                <w:lang w:val="en-US"/>
              </w:rPr>
            </w:pPr>
            <w:r w:rsidRPr="001E4B15">
              <w:rPr>
                <w:b/>
                <w:bCs/>
                <w:color w:val="auto"/>
                <w:sz w:val="22"/>
                <w:szCs w:val="22"/>
                <w:lang w:val="en-US"/>
              </w:rPr>
              <w:t>Location</w:t>
            </w:r>
          </w:p>
        </w:tc>
        <w:tc>
          <w:tcPr>
            <w:tcW w:w="2424" w:type="dxa"/>
            <w:hideMark/>
          </w:tcPr>
          <w:p w14:paraId="7B23F747" w14:textId="77777777" w:rsidR="00A3002D" w:rsidRPr="001E4B15" w:rsidRDefault="00A3002D" w:rsidP="00F630CA">
            <w:pPr>
              <w:pStyle w:val="Default"/>
              <w:rPr>
                <w:b/>
                <w:bCs/>
                <w:color w:val="auto"/>
                <w:sz w:val="22"/>
                <w:szCs w:val="22"/>
                <w:lang w:val="en-US"/>
              </w:rPr>
            </w:pPr>
            <w:r w:rsidRPr="001E4B15">
              <w:rPr>
                <w:b/>
                <w:bCs/>
                <w:color w:val="auto"/>
                <w:sz w:val="22"/>
                <w:szCs w:val="22"/>
                <w:lang w:val="en-US"/>
              </w:rPr>
              <w:t>Lot Number</w:t>
            </w:r>
          </w:p>
        </w:tc>
        <w:tc>
          <w:tcPr>
            <w:tcW w:w="1836" w:type="dxa"/>
            <w:hideMark/>
          </w:tcPr>
          <w:p w14:paraId="2DD256FB" w14:textId="77777777" w:rsidR="00A3002D" w:rsidRPr="001E4B15" w:rsidRDefault="00A3002D" w:rsidP="00F630CA">
            <w:pPr>
              <w:pStyle w:val="Default"/>
              <w:rPr>
                <w:b/>
                <w:bCs/>
                <w:color w:val="auto"/>
                <w:sz w:val="22"/>
                <w:szCs w:val="22"/>
                <w:lang w:val="en-US"/>
              </w:rPr>
            </w:pPr>
            <w:r w:rsidRPr="001E4B15">
              <w:rPr>
                <w:b/>
                <w:bCs/>
                <w:color w:val="auto"/>
                <w:sz w:val="22"/>
                <w:szCs w:val="22"/>
                <w:lang w:val="en-US"/>
              </w:rPr>
              <w:t>System Capacity</w:t>
            </w:r>
          </w:p>
        </w:tc>
        <w:tc>
          <w:tcPr>
            <w:tcW w:w="1481" w:type="dxa"/>
            <w:hideMark/>
          </w:tcPr>
          <w:p w14:paraId="795F9C25" w14:textId="77777777" w:rsidR="00A3002D" w:rsidRPr="001E4B15" w:rsidRDefault="00A3002D" w:rsidP="00F630CA">
            <w:pPr>
              <w:pStyle w:val="Default"/>
              <w:rPr>
                <w:b/>
                <w:bCs/>
                <w:color w:val="auto"/>
                <w:sz w:val="22"/>
                <w:szCs w:val="22"/>
                <w:lang w:val="en-US"/>
              </w:rPr>
            </w:pPr>
            <w:r w:rsidRPr="001E4B15">
              <w:rPr>
                <w:b/>
                <w:bCs/>
                <w:color w:val="auto"/>
                <w:sz w:val="22"/>
                <w:szCs w:val="22"/>
                <w:lang w:val="en-US"/>
              </w:rPr>
              <w:t>Building Use</w:t>
            </w:r>
          </w:p>
        </w:tc>
        <w:tc>
          <w:tcPr>
            <w:tcW w:w="1574" w:type="dxa"/>
          </w:tcPr>
          <w:p w14:paraId="63F623C9" w14:textId="77777777" w:rsidR="00A3002D" w:rsidRPr="001E4B15" w:rsidRDefault="00A3002D" w:rsidP="00F630CA">
            <w:pPr>
              <w:pStyle w:val="Default"/>
              <w:rPr>
                <w:b/>
                <w:bCs/>
                <w:color w:val="auto"/>
                <w:sz w:val="22"/>
                <w:szCs w:val="22"/>
                <w:lang w:val="en-US"/>
              </w:rPr>
            </w:pPr>
            <w:r w:rsidRPr="001E4B15">
              <w:rPr>
                <w:b/>
                <w:bCs/>
                <w:color w:val="auto"/>
                <w:sz w:val="22"/>
                <w:szCs w:val="22"/>
                <w:lang w:val="en-US"/>
              </w:rPr>
              <w:t>Building Owner</w:t>
            </w:r>
          </w:p>
        </w:tc>
      </w:tr>
      <w:tr w:rsidR="00A3002D" w:rsidRPr="001E4B15" w14:paraId="4CF5FA6E" w14:textId="77777777" w:rsidTr="00F630CA">
        <w:trPr>
          <w:tblCellSpacing w:w="15" w:type="dxa"/>
        </w:trPr>
        <w:tc>
          <w:tcPr>
            <w:tcW w:w="2835" w:type="dxa"/>
            <w:hideMark/>
          </w:tcPr>
          <w:p w14:paraId="2F783124" w14:textId="77777777" w:rsidR="00A3002D" w:rsidRPr="001E4B15" w:rsidRDefault="00A3002D" w:rsidP="00F630CA">
            <w:pPr>
              <w:pStyle w:val="Default"/>
              <w:rPr>
                <w:color w:val="auto"/>
                <w:sz w:val="22"/>
                <w:szCs w:val="22"/>
                <w:lang w:val="en-US"/>
              </w:rPr>
            </w:pPr>
            <w:proofErr w:type="spellStart"/>
            <w:r w:rsidRPr="001E4B15">
              <w:rPr>
                <w:color w:val="auto"/>
                <w:sz w:val="22"/>
                <w:szCs w:val="22"/>
                <w:lang w:val="en-US"/>
              </w:rPr>
              <w:t>Venac</w:t>
            </w:r>
            <w:proofErr w:type="spellEnd"/>
            <w:r w:rsidRPr="001E4B15">
              <w:rPr>
                <w:color w:val="auto"/>
                <w:sz w:val="22"/>
                <w:szCs w:val="22"/>
                <w:lang w:val="en-US"/>
              </w:rPr>
              <w:t xml:space="preserve"> Petra </w:t>
            </w:r>
            <w:proofErr w:type="spellStart"/>
            <w:r w:rsidRPr="001E4B15">
              <w:rPr>
                <w:color w:val="auto"/>
                <w:sz w:val="22"/>
                <w:szCs w:val="22"/>
                <w:lang w:val="en-US"/>
              </w:rPr>
              <w:t>Bojovića</w:t>
            </w:r>
            <w:proofErr w:type="spellEnd"/>
            <w:r w:rsidRPr="001E4B15">
              <w:rPr>
                <w:color w:val="auto"/>
                <w:sz w:val="22"/>
                <w:szCs w:val="22"/>
                <w:lang w:val="en-US"/>
              </w:rPr>
              <w:t xml:space="preserve"> 11</w:t>
            </w:r>
          </w:p>
          <w:p w14:paraId="31020806" w14:textId="77777777" w:rsidR="00A3002D" w:rsidRPr="001E4B15" w:rsidRDefault="00A3002D" w:rsidP="00F630CA">
            <w:pPr>
              <w:pStyle w:val="Default"/>
              <w:rPr>
                <w:color w:val="auto"/>
                <w:sz w:val="22"/>
                <w:szCs w:val="22"/>
                <w:lang w:val="en-US"/>
              </w:rPr>
            </w:pPr>
            <w:r w:rsidRPr="001E4B15">
              <w:rPr>
                <w:color w:val="auto"/>
                <w:sz w:val="22"/>
                <w:szCs w:val="22"/>
                <w:lang w:val="en-US"/>
              </w:rPr>
              <w:t xml:space="preserve">25000 </w:t>
            </w:r>
            <w:proofErr w:type="spellStart"/>
            <w:r w:rsidRPr="001E4B15">
              <w:rPr>
                <w:color w:val="auto"/>
                <w:sz w:val="22"/>
                <w:szCs w:val="22"/>
                <w:lang w:val="en-US"/>
              </w:rPr>
              <w:t>Sombor</w:t>
            </w:r>
            <w:proofErr w:type="spellEnd"/>
            <w:r w:rsidRPr="001E4B15">
              <w:rPr>
                <w:color w:val="auto"/>
                <w:sz w:val="22"/>
                <w:szCs w:val="22"/>
                <w:lang w:val="en-US"/>
              </w:rPr>
              <w:t xml:space="preserve"> </w:t>
            </w:r>
          </w:p>
        </w:tc>
        <w:tc>
          <w:tcPr>
            <w:tcW w:w="2424" w:type="dxa"/>
            <w:hideMark/>
          </w:tcPr>
          <w:p w14:paraId="35FA8EC5" w14:textId="77777777" w:rsidR="00A3002D" w:rsidRPr="001E4B15" w:rsidRDefault="00A3002D" w:rsidP="00F630CA">
            <w:pPr>
              <w:pStyle w:val="Default"/>
              <w:rPr>
                <w:color w:val="auto"/>
                <w:sz w:val="22"/>
                <w:szCs w:val="22"/>
                <w:lang w:val="en-US"/>
              </w:rPr>
            </w:pPr>
            <w:r w:rsidRPr="001E4B15">
              <w:rPr>
                <w:color w:val="auto"/>
                <w:sz w:val="22"/>
                <w:szCs w:val="22"/>
                <w:lang w:val="en-US"/>
              </w:rPr>
              <w:t xml:space="preserve">7209 </w:t>
            </w:r>
            <w:proofErr w:type="spellStart"/>
            <w:r w:rsidRPr="001E4B15">
              <w:rPr>
                <w:color w:val="auto"/>
                <w:sz w:val="22"/>
                <w:szCs w:val="22"/>
                <w:lang w:val="en-US"/>
              </w:rPr>
              <w:t>k.o.</w:t>
            </w:r>
            <w:proofErr w:type="spellEnd"/>
            <w:r w:rsidRPr="001E4B15">
              <w:rPr>
                <w:color w:val="auto"/>
                <w:sz w:val="22"/>
                <w:szCs w:val="22"/>
                <w:lang w:val="en-US"/>
              </w:rPr>
              <w:t xml:space="preserve"> </w:t>
            </w:r>
            <w:proofErr w:type="spellStart"/>
            <w:r w:rsidRPr="001E4B15">
              <w:rPr>
                <w:color w:val="auto"/>
                <w:sz w:val="22"/>
                <w:szCs w:val="22"/>
                <w:lang w:val="en-US"/>
              </w:rPr>
              <w:t>Sombor</w:t>
            </w:r>
            <w:proofErr w:type="spellEnd"/>
            <w:r w:rsidRPr="001E4B15">
              <w:rPr>
                <w:color w:val="auto"/>
                <w:sz w:val="22"/>
                <w:szCs w:val="22"/>
                <w:lang w:val="en-US"/>
              </w:rPr>
              <w:t xml:space="preserve"> 1</w:t>
            </w:r>
          </w:p>
        </w:tc>
        <w:tc>
          <w:tcPr>
            <w:tcW w:w="1836" w:type="dxa"/>
            <w:hideMark/>
          </w:tcPr>
          <w:p w14:paraId="6843E512" w14:textId="77777777" w:rsidR="00A3002D" w:rsidRPr="001E4B15" w:rsidRDefault="00A3002D" w:rsidP="00F630CA">
            <w:pPr>
              <w:pStyle w:val="Default"/>
              <w:rPr>
                <w:color w:val="auto"/>
                <w:sz w:val="22"/>
                <w:szCs w:val="22"/>
                <w:lang w:val="en-US"/>
              </w:rPr>
            </w:pPr>
            <w:r w:rsidRPr="001E4B15">
              <w:rPr>
                <w:color w:val="auto"/>
                <w:sz w:val="22"/>
                <w:szCs w:val="22"/>
                <w:lang w:val="en-US"/>
              </w:rPr>
              <w:t>0.04 MW</w:t>
            </w:r>
          </w:p>
        </w:tc>
        <w:tc>
          <w:tcPr>
            <w:tcW w:w="1481" w:type="dxa"/>
            <w:hideMark/>
          </w:tcPr>
          <w:p w14:paraId="0FB7C4A6" w14:textId="77777777" w:rsidR="00A3002D" w:rsidRPr="001E4B15" w:rsidRDefault="00A3002D" w:rsidP="00F630CA">
            <w:pPr>
              <w:pStyle w:val="Default"/>
              <w:rPr>
                <w:color w:val="auto"/>
                <w:sz w:val="22"/>
                <w:szCs w:val="22"/>
                <w:lang w:val="en-US"/>
              </w:rPr>
            </w:pPr>
            <w:r w:rsidRPr="001E4B15">
              <w:rPr>
                <w:color w:val="auto"/>
                <w:sz w:val="22"/>
                <w:szCs w:val="22"/>
                <w:lang w:val="en-US"/>
              </w:rPr>
              <w:t>SC “Soko”</w:t>
            </w:r>
          </w:p>
        </w:tc>
        <w:tc>
          <w:tcPr>
            <w:tcW w:w="1574" w:type="dxa"/>
          </w:tcPr>
          <w:p w14:paraId="17FFD75E" w14:textId="77777777" w:rsidR="00A3002D" w:rsidRPr="001E4B15" w:rsidRDefault="00A3002D" w:rsidP="00F630CA">
            <w:pPr>
              <w:pStyle w:val="Default"/>
              <w:rPr>
                <w:color w:val="auto"/>
                <w:sz w:val="22"/>
                <w:szCs w:val="22"/>
                <w:lang w:val="en-US"/>
              </w:rPr>
            </w:pPr>
            <w:r w:rsidRPr="001E4B15">
              <w:rPr>
                <w:color w:val="auto"/>
                <w:sz w:val="22"/>
                <w:szCs w:val="22"/>
                <w:lang w:val="en-US"/>
              </w:rPr>
              <w:t xml:space="preserve">City of </w:t>
            </w:r>
            <w:proofErr w:type="spellStart"/>
            <w:r w:rsidRPr="001E4B15">
              <w:rPr>
                <w:color w:val="auto"/>
                <w:sz w:val="22"/>
                <w:szCs w:val="22"/>
                <w:lang w:val="en-US"/>
              </w:rPr>
              <w:t>Sombor</w:t>
            </w:r>
            <w:proofErr w:type="spellEnd"/>
          </w:p>
        </w:tc>
      </w:tr>
      <w:tr w:rsidR="00A3002D" w:rsidRPr="001E4B15" w14:paraId="4E7ADF28" w14:textId="77777777" w:rsidTr="00F630CA">
        <w:trPr>
          <w:tblCellSpacing w:w="15" w:type="dxa"/>
        </w:trPr>
        <w:tc>
          <w:tcPr>
            <w:tcW w:w="2835" w:type="dxa"/>
            <w:hideMark/>
          </w:tcPr>
          <w:p w14:paraId="13951A2B" w14:textId="77777777" w:rsidR="00A3002D" w:rsidRPr="001E4B15" w:rsidRDefault="00A3002D" w:rsidP="00F630CA">
            <w:pPr>
              <w:spacing w:before="0" w:after="0"/>
              <w:rPr>
                <w:rFonts w:ascii="Times New Roman" w:hAnsi="Times New Roman"/>
                <w:snapToGrid/>
                <w:sz w:val="24"/>
                <w:szCs w:val="24"/>
                <w:lang w:val="en-US"/>
              </w:rPr>
            </w:pPr>
            <w:proofErr w:type="spellStart"/>
            <w:r w:rsidRPr="001E4B15">
              <w:rPr>
                <w:rFonts w:ascii="Times New Roman" w:hAnsi="Times New Roman"/>
                <w:snapToGrid/>
                <w:sz w:val="24"/>
                <w:szCs w:val="24"/>
                <w:lang w:val="en-US"/>
              </w:rPr>
              <w:t>Apatinski</w:t>
            </w:r>
            <w:proofErr w:type="spellEnd"/>
            <w:r w:rsidRPr="001E4B15">
              <w:rPr>
                <w:rFonts w:ascii="Times New Roman" w:hAnsi="Times New Roman"/>
                <w:snapToGrid/>
                <w:sz w:val="24"/>
                <w:szCs w:val="24"/>
                <w:lang w:val="en-US"/>
              </w:rPr>
              <w:t xml:space="preserve"> put bb</w:t>
            </w:r>
          </w:p>
          <w:p w14:paraId="5A198CAE" w14:textId="77777777" w:rsidR="00A3002D" w:rsidRPr="001E4B15" w:rsidRDefault="00A3002D" w:rsidP="00F630CA">
            <w:pPr>
              <w:spacing w:before="0" w:after="0"/>
              <w:rPr>
                <w:rFonts w:ascii="Times New Roman" w:hAnsi="Times New Roman"/>
                <w:snapToGrid/>
                <w:sz w:val="24"/>
                <w:szCs w:val="24"/>
                <w:lang w:val="en-US"/>
              </w:rPr>
            </w:pPr>
            <w:r w:rsidRPr="001E4B15">
              <w:rPr>
                <w:rFonts w:ascii="Times New Roman" w:hAnsi="Times New Roman"/>
                <w:snapToGrid/>
                <w:sz w:val="24"/>
                <w:szCs w:val="24"/>
                <w:lang w:val="en-US"/>
              </w:rPr>
              <w:t xml:space="preserve">25000 </w:t>
            </w:r>
            <w:proofErr w:type="spellStart"/>
            <w:r w:rsidRPr="001E4B15">
              <w:rPr>
                <w:rFonts w:ascii="Times New Roman" w:hAnsi="Times New Roman"/>
                <w:snapToGrid/>
                <w:sz w:val="24"/>
                <w:szCs w:val="24"/>
                <w:lang w:val="en-US"/>
              </w:rPr>
              <w:t>Sombor</w:t>
            </w:r>
            <w:proofErr w:type="spellEnd"/>
          </w:p>
        </w:tc>
        <w:tc>
          <w:tcPr>
            <w:tcW w:w="2424" w:type="dxa"/>
            <w:hideMark/>
          </w:tcPr>
          <w:p w14:paraId="2136DDBB" w14:textId="77777777" w:rsidR="00A3002D" w:rsidRPr="001E4B15" w:rsidRDefault="00A3002D" w:rsidP="00F630CA">
            <w:pPr>
              <w:spacing w:before="0" w:after="0"/>
              <w:rPr>
                <w:rFonts w:ascii="Times New Roman" w:hAnsi="Times New Roman"/>
                <w:snapToGrid/>
                <w:sz w:val="24"/>
                <w:szCs w:val="24"/>
                <w:lang w:val="en-US"/>
              </w:rPr>
            </w:pPr>
            <w:r w:rsidRPr="001E4B15">
              <w:rPr>
                <w:rFonts w:ascii="Times New Roman" w:hAnsi="Times New Roman"/>
                <w:snapToGrid/>
                <w:sz w:val="24"/>
                <w:szCs w:val="24"/>
                <w:lang w:val="en-US"/>
              </w:rPr>
              <w:t xml:space="preserve">8735/6 </w:t>
            </w:r>
            <w:proofErr w:type="spellStart"/>
            <w:r w:rsidRPr="001E4B15">
              <w:rPr>
                <w:rFonts w:ascii="Times New Roman" w:hAnsi="Times New Roman"/>
                <w:snapToGrid/>
                <w:sz w:val="24"/>
                <w:szCs w:val="24"/>
                <w:lang w:val="en-US"/>
              </w:rPr>
              <w:t>k.o.</w:t>
            </w:r>
            <w:proofErr w:type="spellEnd"/>
            <w:r w:rsidRPr="001E4B15">
              <w:rPr>
                <w:rFonts w:ascii="Times New Roman" w:hAnsi="Times New Roman"/>
                <w:snapToGrid/>
                <w:sz w:val="24"/>
                <w:szCs w:val="24"/>
                <w:lang w:val="en-US"/>
              </w:rPr>
              <w:t xml:space="preserve"> </w:t>
            </w:r>
            <w:proofErr w:type="spellStart"/>
            <w:r w:rsidRPr="001E4B15">
              <w:rPr>
                <w:rFonts w:ascii="Times New Roman" w:hAnsi="Times New Roman"/>
                <w:snapToGrid/>
                <w:sz w:val="24"/>
                <w:szCs w:val="24"/>
                <w:lang w:val="en-US"/>
              </w:rPr>
              <w:t>Sombor</w:t>
            </w:r>
            <w:proofErr w:type="spellEnd"/>
            <w:r w:rsidRPr="001E4B15">
              <w:rPr>
                <w:rFonts w:ascii="Times New Roman" w:hAnsi="Times New Roman"/>
                <w:snapToGrid/>
                <w:sz w:val="24"/>
                <w:szCs w:val="24"/>
                <w:lang w:val="en-US"/>
              </w:rPr>
              <w:t xml:space="preserve"> 1</w:t>
            </w:r>
          </w:p>
        </w:tc>
        <w:tc>
          <w:tcPr>
            <w:tcW w:w="1836" w:type="dxa"/>
            <w:hideMark/>
          </w:tcPr>
          <w:p w14:paraId="50E525B3" w14:textId="77777777" w:rsidR="00A3002D" w:rsidRPr="001E4B15" w:rsidRDefault="00A3002D" w:rsidP="00F630CA">
            <w:pPr>
              <w:spacing w:before="0" w:after="0"/>
              <w:rPr>
                <w:rFonts w:ascii="Times New Roman" w:hAnsi="Times New Roman"/>
                <w:snapToGrid/>
                <w:sz w:val="24"/>
                <w:szCs w:val="24"/>
                <w:lang w:val="en-US"/>
              </w:rPr>
            </w:pPr>
            <w:r w:rsidRPr="001E4B15">
              <w:rPr>
                <w:rFonts w:ascii="Times New Roman" w:hAnsi="Times New Roman"/>
                <w:snapToGrid/>
                <w:sz w:val="24"/>
                <w:szCs w:val="24"/>
                <w:lang w:val="en-US"/>
              </w:rPr>
              <w:t>0.25 MW</w:t>
            </w:r>
          </w:p>
        </w:tc>
        <w:tc>
          <w:tcPr>
            <w:tcW w:w="1481" w:type="dxa"/>
            <w:hideMark/>
          </w:tcPr>
          <w:p w14:paraId="01E42AE8" w14:textId="77777777" w:rsidR="00A3002D" w:rsidRPr="001E4B15" w:rsidRDefault="00A3002D" w:rsidP="00F630CA">
            <w:pPr>
              <w:spacing w:before="0" w:after="0"/>
              <w:rPr>
                <w:rFonts w:ascii="Times New Roman" w:hAnsi="Times New Roman"/>
                <w:snapToGrid/>
                <w:sz w:val="24"/>
                <w:szCs w:val="24"/>
                <w:lang w:val="en-US"/>
              </w:rPr>
            </w:pPr>
            <w:r w:rsidRPr="001E4B15">
              <w:rPr>
                <w:rFonts w:ascii="Times New Roman" w:hAnsi="Times New Roman"/>
                <w:snapToGrid/>
                <w:sz w:val="24"/>
                <w:szCs w:val="24"/>
                <w:lang w:val="en-US"/>
              </w:rPr>
              <w:t>SC “Soko”</w:t>
            </w:r>
          </w:p>
        </w:tc>
        <w:tc>
          <w:tcPr>
            <w:tcW w:w="1574" w:type="dxa"/>
          </w:tcPr>
          <w:p w14:paraId="294EC8D2" w14:textId="77777777" w:rsidR="00A3002D" w:rsidRPr="001E4B15" w:rsidRDefault="00A3002D" w:rsidP="00F630CA">
            <w:pPr>
              <w:spacing w:before="0" w:after="0"/>
              <w:rPr>
                <w:rFonts w:ascii="Times New Roman" w:hAnsi="Times New Roman"/>
                <w:snapToGrid/>
                <w:sz w:val="24"/>
                <w:szCs w:val="24"/>
                <w:lang w:val="en-US"/>
              </w:rPr>
            </w:pPr>
            <w:r w:rsidRPr="001E4B15">
              <w:rPr>
                <w:rFonts w:ascii="Times New Roman" w:hAnsi="Times New Roman"/>
                <w:sz w:val="22"/>
                <w:szCs w:val="22"/>
                <w:lang w:val="en-US"/>
              </w:rPr>
              <w:t xml:space="preserve">City of </w:t>
            </w:r>
            <w:proofErr w:type="spellStart"/>
            <w:r w:rsidRPr="001E4B15">
              <w:rPr>
                <w:rFonts w:ascii="Times New Roman" w:hAnsi="Times New Roman"/>
                <w:sz w:val="22"/>
                <w:szCs w:val="22"/>
                <w:lang w:val="en-US"/>
              </w:rPr>
              <w:t>Sombor</w:t>
            </w:r>
            <w:proofErr w:type="spellEnd"/>
          </w:p>
        </w:tc>
      </w:tr>
    </w:tbl>
    <w:p w14:paraId="46072CA1" w14:textId="264F1AA0"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 xml:space="preserve">the main </w:t>
      </w:r>
      <w:proofErr w:type="gramStart"/>
      <w:r>
        <w:rPr>
          <w:rFonts w:ascii="Times New Roman" w:hAnsi="Times New Roman"/>
          <w:sz w:val="22"/>
        </w:rPr>
        <w:t>conditions</w:t>
      </w:r>
      <w:r w:rsidRPr="00C05EBE">
        <w:rPr>
          <w:rFonts w:ascii="Times New Roman" w:hAnsi="Times New Roman"/>
          <w:sz w:val="22"/>
        </w:rPr>
        <w:t>;</w:t>
      </w:r>
      <w:proofErr w:type="gramEnd"/>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special </w:t>
      </w:r>
      <w:proofErr w:type="gramStart"/>
      <w:r w:rsidRPr="00C05EBE">
        <w:rPr>
          <w:rFonts w:ascii="Times New Roman" w:hAnsi="Times New Roman"/>
          <w:sz w:val="22"/>
        </w:rPr>
        <w:t>conditions</w:t>
      </w:r>
      <w:r>
        <w:rPr>
          <w:rFonts w:ascii="Times New Roman" w:hAnsi="Times New Roman"/>
          <w:sz w:val="22"/>
        </w:rPr>
        <w:t>;</w:t>
      </w:r>
      <w:proofErr w:type="gramEnd"/>
    </w:p>
    <w:p w14:paraId="0F153351" w14:textId="6A3D0818" w:rsidR="00D14292" w:rsidRPr="00A3002D" w:rsidRDefault="00C05EBE" w:rsidP="00A3002D">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roofErr w:type="gramStart"/>
      <w:r w:rsidRPr="00C05EBE">
        <w:rPr>
          <w:rFonts w:ascii="Times New Roman" w:hAnsi="Times New Roman"/>
          <w:sz w:val="22"/>
        </w:rPr>
        <w:t>);</w:t>
      </w:r>
      <w:proofErr w:type="gramEnd"/>
    </w:p>
    <w:p w14:paraId="344624D4" w14:textId="2C0D236F"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 [including clarifications before the deadline for submission of tenders and minutes from the information meeting/site visit</w:t>
      </w:r>
      <w:proofErr w:type="gramStart"/>
      <w:r w:rsidRPr="00C05EBE">
        <w:rPr>
          <w:rFonts w:ascii="Times New Roman" w:hAnsi="Times New Roman"/>
          <w:sz w:val="22"/>
        </w:rPr>
        <w:t>];</w:t>
      </w:r>
      <w:proofErr w:type="gramEnd"/>
    </w:p>
    <w:p w14:paraId="01FF9F87" w14:textId="524DEC72" w:rsidR="00C05EBE" w:rsidRPr="00A3002D"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technical offer (Annex </w:t>
      </w:r>
      <w:r w:rsidRPr="00A3002D">
        <w:rPr>
          <w:rFonts w:ascii="Times New Roman" w:hAnsi="Times New Roman"/>
          <w:sz w:val="22"/>
        </w:rPr>
        <w:t>III including clarifications from the tenderer provided during tender evaluation</w:t>
      </w:r>
      <w:proofErr w:type="gramStart"/>
      <w:r w:rsidRPr="00A3002D">
        <w:rPr>
          <w:rFonts w:ascii="Times New Roman" w:hAnsi="Times New Roman"/>
          <w:sz w:val="22"/>
        </w:rPr>
        <w:t>);</w:t>
      </w:r>
      <w:proofErr w:type="gramEnd"/>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roofErr w:type="gramStart"/>
      <w:r w:rsidRPr="00C05EBE">
        <w:rPr>
          <w:rFonts w:ascii="Times New Roman" w:hAnsi="Times New Roman"/>
          <w:sz w:val="22"/>
        </w:rPr>
        <w:t>);</w:t>
      </w:r>
      <w:proofErr w:type="gramEnd"/>
    </w:p>
    <w:p w14:paraId="4411F209" w14:textId="1752B55B" w:rsidR="00C05EBE" w:rsidRPr="00A3002D" w:rsidRDefault="00C05EBE" w:rsidP="00B5440B">
      <w:pPr>
        <w:numPr>
          <w:ilvl w:val="0"/>
          <w:numId w:val="1"/>
        </w:numPr>
        <w:tabs>
          <w:tab w:val="clear" w:pos="360"/>
        </w:tabs>
        <w:spacing w:before="0" w:after="240"/>
        <w:ind w:left="709" w:hanging="425"/>
        <w:jc w:val="both"/>
        <w:rPr>
          <w:rFonts w:ascii="Times New Roman" w:hAnsi="Times New Roman"/>
          <w:sz w:val="22"/>
        </w:rPr>
      </w:pPr>
      <w:r w:rsidRPr="00A3002D">
        <w:rPr>
          <w:rFonts w:ascii="Times New Roman" w:hAnsi="Times New Roman"/>
          <w:sz w:val="22"/>
        </w:rPr>
        <w:t>specified forms and other relevant documents (Annex V</w:t>
      </w:r>
      <w:proofErr w:type="gramStart"/>
      <w:r w:rsidRPr="00A3002D">
        <w:rPr>
          <w:rFonts w:ascii="Times New Roman" w:hAnsi="Times New Roman"/>
          <w:sz w:val="22"/>
        </w:rPr>
        <w:t>);</w:t>
      </w:r>
      <w:proofErr w:type="gramEnd"/>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lastRenderedPageBreak/>
        <w:t>Article 4</w:t>
      </w:r>
      <w:r w:rsidRPr="003D6B6C">
        <w:rPr>
          <w:rFonts w:ascii="Times New Roman" w:hAnsi="Times New Roman"/>
          <w:b/>
          <w:sz w:val="24"/>
          <w:szCs w:val="24"/>
        </w:rPr>
        <w:tab/>
        <w:t>Communications</w:t>
      </w:r>
      <w:bookmarkEnd w:id="4"/>
    </w:p>
    <w:p w14:paraId="102CD362" w14:textId="77777777" w:rsidR="00A3002D" w:rsidRDefault="000724EA" w:rsidP="00A3002D">
      <w:pPr>
        <w:spacing w:before="0" w:after="0"/>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r w:rsidR="00A3002D">
        <w:rPr>
          <w:rFonts w:ascii="Times New Roman" w:hAnsi="Times New Roman"/>
          <w:sz w:val="22"/>
          <w:szCs w:val="22"/>
        </w:rPr>
        <w:t xml:space="preserve">: </w:t>
      </w:r>
      <w:r w:rsidR="00A3002D" w:rsidRPr="00A3002D">
        <w:rPr>
          <w:rFonts w:ascii="Times New Roman" w:hAnsi="Times New Roman"/>
          <w:sz w:val="22"/>
          <w:szCs w:val="22"/>
        </w:rPr>
        <w:t>All communications related to the implementation of this contract shall be conducted via the following contact details:</w:t>
      </w:r>
    </w:p>
    <w:p w14:paraId="0AC16719" w14:textId="77777777" w:rsidR="00884325" w:rsidRDefault="00A3002D" w:rsidP="00A3002D">
      <w:pPr>
        <w:spacing w:before="0" w:after="0"/>
        <w:ind w:left="1134"/>
        <w:rPr>
          <w:rFonts w:ascii="Times New Roman" w:hAnsi="Times New Roman"/>
          <w:sz w:val="22"/>
          <w:szCs w:val="22"/>
        </w:rPr>
      </w:pPr>
      <w:r w:rsidRPr="00A3002D">
        <w:rPr>
          <w:rFonts w:ascii="Times New Roman" w:hAnsi="Times New Roman"/>
          <w:sz w:val="22"/>
          <w:szCs w:val="22"/>
        </w:rPr>
        <w:t>Contact person: Marijana Rilke</w:t>
      </w:r>
      <w:r>
        <w:rPr>
          <w:rFonts w:ascii="Times New Roman" w:hAnsi="Times New Roman"/>
          <w:sz w:val="22"/>
          <w:szCs w:val="22"/>
        </w:rPr>
        <w:t xml:space="preserve"> </w:t>
      </w:r>
    </w:p>
    <w:p w14:paraId="74C72A4D" w14:textId="77777777" w:rsidR="00884325" w:rsidRDefault="00A3002D" w:rsidP="00A3002D">
      <w:pPr>
        <w:spacing w:before="0" w:after="0"/>
        <w:ind w:left="1134"/>
        <w:rPr>
          <w:rFonts w:ascii="Times New Roman" w:hAnsi="Times New Roman"/>
          <w:sz w:val="22"/>
          <w:szCs w:val="22"/>
        </w:rPr>
      </w:pPr>
      <w:r w:rsidRPr="00A3002D">
        <w:rPr>
          <w:rFonts w:ascii="Times New Roman" w:hAnsi="Times New Roman"/>
          <w:sz w:val="22"/>
          <w:szCs w:val="22"/>
        </w:rPr>
        <w:t xml:space="preserve">Address: City of </w:t>
      </w:r>
      <w:proofErr w:type="spellStart"/>
      <w:r w:rsidRPr="00A3002D">
        <w:rPr>
          <w:rFonts w:ascii="Times New Roman" w:hAnsi="Times New Roman"/>
          <w:sz w:val="22"/>
          <w:szCs w:val="22"/>
        </w:rPr>
        <w:t>Sombor</w:t>
      </w:r>
      <w:proofErr w:type="spellEnd"/>
      <w:r w:rsidRPr="00A3002D">
        <w:rPr>
          <w:rFonts w:ascii="Times New Roman" w:hAnsi="Times New Roman"/>
          <w:sz w:val="22"/>
          <w:szCs w:val="22"/>
        </w:rPr>
        <w:t xml:space="preserve">, </w:t>
      </w:r>
      <w:proofErr w:type="spellStart"/>
      <w:r w:rsidRPr="00A3002D">
        <w:rPr>
          <w:rFonts w:ascii="Times New Roman" w:hAnsi="Times New Roman"/>
          <w:sz w:val="22"/>
          <w:szCs w:val="22"/>
        </w:rPr>
        <w:t>Trg</w:t>
      </w:r>
      <w:proofErr w:type="spellEnd"/>
      <w:r w:rsidRPr="00A3002D">
        <w:rPr>
          <w:rFonts w:ascii="Times New Roman" w:hAnsi="Times New Roman"/>
          <w:sz w:val="22"/>
          <w:szCs w:val="22"/>
        </w:rPr>
        <w:t xml:space="preserve"> </w:t>
      </w:r>
      <w:proofErr w:type="spellStart"/>
      <w:r w:rsidRPr="00A3002D">
        <w:rPr>
          <w:rFonts w:ascii="Times New Roman" w:hAnsi="Times New Roman"/>
          <w:sz w:val="22"/>
          <w:szCs w:val="22"/>
        </w:rPr>
        <w:t>cara</w:t>
      </w:r>
      <w:proofErr w:type="spellEnd"/>
      <w:r w:rsidRPr="00A3002D">
        <w:rPr>
          <w:rFonts w:ascii="Times New Roman" w:hAnsi="Times New Roman"/>
          <w:sz w:val="22"/>
          <w:szCs w:val="22"/>
        </w:rPr>
        <w:t xml:space="preserve"> </w:t>
      </w:r>
      <w:proofErr w:type="spellStart"/>
      <w:r w:rsidRPr="00A3002D">
        <w:rPr>
          <w:rFonts w:ascii="Times New Roman" w:hAnsi="Times New Roman"/>
          <w:sz w:val="22"/>
          <w:szCs w:val="22"/>
        </w:rPr>
        <w:t>Uroša</w:t>
      </w:r>
      <w:proofErr w:type="spellEnd"/>
      <w:r w:rsidRPr="00A3002D">
        <w:rPr>
          <w:rFonts w:ascii="Times New Roman" w:hAnsi="Times New Roman"/>
          <w:sz w:val="22"/>
          <w:szCs w:val="22"/>
        </w:rPr>
        <w:t xml:space="preserve"> 1, 25000 </w:t>
      </w:r>
      <w:proofErr w:type="spellStart"/>
      <w:r w:rsidRPr="00A3002D">
        <w:rPr>
          <w:rFonts w:ascii="Times New Roman" w:hAnsi="Times New Roman"/>
          <w:sz w:val="22"/>
          <w:szCs w:val="22"/>
        </w:rPr>
        <w:t>Sombor</w:t>
      </w:r>
      <w:proofErr w:type="spellEnd"/>
      <w:r w:rsidRPr="00A3002D">
        <w:rPr>
          <w:rFonts w:ascii="Times New Roman" w:hAnsi="Times New Roman"/>
          <w:sz w:val="22"/>
          <w:szCs w:val="22"/>
        </w:rPr>
        <w:t>, Republic of Serbia</w:t>
      </w:r>
    </w:p>
    <w:p w14:paraId="3481FE5E" w14:textId="389CDC96" w:rsidR="003F3783" w:rsidRDefault="00A3002D" w:rsidP="00A3002D">
      <w:pPr>
        <w:spacing w:before="0" w:after="0"/>
        <w:ind w:left="1134"/>
        <w:rPr>
          <w:rFonts w:ascii="Times New Roman" w:hAnsi="Times New Roman"/>
          <w:sz w:val="22"/>
          <w:szCs w:val="22"/>
        </w:rPr>
      </w:pPr>
      <w:r w:rsidRPr="00A3002D">
        <w:rPr>
          <w:rFonts w:ascii="Times New Roman" w:hAnsi="Times New Roman"/>
          <w:sz w:val="22"/>
          <w:szCs w:val="22"/>
        </w:rPr>
        <w:t xml:space="preserve">E-mail: </w:t>
      </w:r>
      <w:hyperlink r:id="rId8" w:history="1">
        <w:r w:rsidRPr="002715FA">
          <w:rPr>
            <w:rStyle w:val="Hyperlink"/>
            <w:rFonts w:ascii="Times New Roman" w:hAnsi="Times New Roman"/>
            <w:sz w:val="22"/>
            <w:szCs w:val="22"/>
          </w:rPr>
          <w:t>marijana.rilke@sombor.rs</w:t>
        </w:r>
      </w:hyperlink>
    </w:p>
    <w:p w14:paraId="3ACA39F7" w14:textId="77777777" w:rsidR="00A3002D" w:rsidRPr="003F3783" w:rsidRDefault="00A3002D" w:rsidP="00A3002D">
      <w:pPr>
        <w:spacing w:before="0" w:after="0"/>
        <w:ind w:left="1134"/>
        <w:rPr>
          <w:rFonts w:ascii="Times New Roman" w:hAnsi="Times New Roman"/>
          <w:sz w:val="22"/>
          <w:szCs w:val="22"/>
        </w:rPr>
      </w:pPr>
    </w:p>
    <w:p w14:paraId="7A08231A" w14:textId="0BA39A04" w:rsidR="003F3783" w:rsidRPr="003F3783" w:rsidRDefault="003F3783" w:rsidP="00B5440B">
      <w:pPr>
        <w:spacing w:before="0"/>
        <w:ind w:left="1134" w:hanging="567"/>
        <w:jc w:val="both"/>
        <w:rPr>
          <w:rFonts w:ascii="Times New Roman" w:hAnsi="Times New Roman"/>
          <w:b/>
          <w:bCs/>
          <w:sz w:val="22"/>
          <w:szCs w:val="22"/>
        </w:rPr>
      </w:pPr>
      <w:bookmarkStart w:id="6" w:name="_Hlk133420420"/>
      <w:bookmarkEnd w:id="5"/>
      <w:r>
        <w:rPr>
          <w:rFonts w:ascii="Times New Roman" w:hAnsi="Times New Roman"/>
          <w:sz w:val="22"/>
          <w:szCs w:val="22"/>
        </w:rPr>
        <w:t>4.</w:t>
      </w:r>
      <w:r w:rsidR="00D7711A">
        <w:rPr>
          <w:rFonts w:ascii="Times New Roman" w:hAnsi="Times New Roman"/>
          <w:sz w:val="22"/>
          <w:szCs w:val="22"/>
        </w:rPr>
        <w:t>4</w:t>
      </w:r>
      <w:r w:rsidRPr="003F3783">
        <w:rPr>
          <w:rFonts w:ascii="Times New Roman" w:hAnsi="Times New Roman"/>
          <w:sz w:val="22"/>
          <w:szCs w:val="22"/>
        </w:rPr>
        <w:tab/>
        <w:t>Communication via electronic exchange system (EES)</w:t>
      </w:r>
      <w:r w:rsidRPr="003F3783">
        <w:rPr>
          <w:rFonts w:ascii="Times New Roman" w:hAnsi="Times New Roman"/>
          <w:b/>
          <w:bCs/>
          <w:sz w:val="22"/>
          <w:szCs w:val="22"/>
        </w:rPr>
        <w:t> </w:t>
      </w:r>
    </w:p>
    <w:p w14:paraId="75AB515B" w14:textId="559F1066" w:rsidR="003F3783" w:rsidRPr="00A3002D" w:rsidRDefault="003F3783" w:rsidP="00A3002D">
      <w:pPr>
        <w:spacing w:before="0"/>
        <w:ind w:left="1134"/>
        <w:jc w:val="both"/>
        <w:rPr>
          <w:rFonts w:ascii="Times New Roman" w:hAnsi="Times New Roman"/>
          <w:sz w:val="22"/>
          <w:szCs w:val="22"/>
        </w:rPr>
      </w:pPr>
      <w:r w:rsidRPr="003F3783">
        <w:rPr>
          <w:rFonts w:ascii="Times New Roman" w:hAnsi="Times New Roman"/>
          <w:sz w:val="22"/>
          <w:szCs w:val="22"/>
        </w:rPr>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485D03AC" w14:textId="77777777" w:rsidR="003F3783" w:rsidRPr="00A3002D" w:rsidRDefault="003F3783" w:rsidP="00B5440B">
      <w:pPr>
        <w:spacing w:before="0"/>
        <w:ind w:left="1134"/>
        <w:jc w:val="both"/>
        <w:textAlignment w:val="baseline"/>
        <w:rPr>
          <w:rFonts w:ascii="Times New Roman" w:hAnsi="Times New Roman"/>
          <w:snapToGrid/>
          <w:sz w:val="24"/>
          <w:szCs w:val="24"/>
          <w:lang w:val="en-US" w:eastAsia="fr-BE"/>
        </w:rPr>
      </w:pPr>
      <w:r w:rsidRPr="00A3002D">
        <w:rPr>
          <w:rFonts w:ascii="Times New Roman" w:hAnsi="Times New Roman"/>
          <w:snapToGrid/>
          <w:sz w:val="22"/>
          <w:szCs w:val="22"/>
          <w:lang w:val="en-US" w:eastAsia="fr-BE"/>
        </w:rPr>
        <w:t xml:space="preserve">After the entry into force of this </w:t>
      </w:r>
      <w:r w:rsidRPr="00A3002D">
        <w:rPr>
          <w:rFonts w:ascii="Times New Roman" w:hAnsi="Times New Roman"/>
          <w:snapToGrid/>
          <w:color w:val="000000"/>
          <w:sz w:val="22"/>
          <w:szCs w:val="22"/>
          <w:lang w:eastAsia="fr-BE"/>
        </w:rPr>
        <w:t>contract</w:t>
      </w:r>
      <w:r w:rsidRPr="00A3002D">
        <w:rPr>
          <w:rFonts w:ascii="Times New Roman" w:hAnsi="Times New Roman"/>
          <w:snapToGrid/>
          <w:sz w:val="22"/>
          <w:szCs w:val="22"/>
          <w:lang w:val="en-US" w:eastAsia="fr-BE"/>
        </w:rPr>
        <w:t xml:space="preserve">, at any time during its course the contracting authority may formally notify </w:t>
      </w:r>
      <w:proofErr w:type="gramStart"/>
      <w:r w:rsidRPr="00A3002D">
        <w:rPr>
          <w:rFonts w:ascii="Times New Roman" w:hAnsi="Times New Roman"/>
          <w:snapToGrid/>
          <w:sz w:val="22"/>
          <w:szCs w:val="22"/>
          <w:lang w:val="en-US" w:eastAsia="fr-BE"/>
        </w:rPr>
        <w:t>in writing the contractor</w:t>
      </w:r>
      <w:proofErr w:type="gramEnd"/>
      <w:r w:rsidRPr="00A3002D">
        <w:rPr>
          <w:rFonts w:ascii="Times New Roman" w:hAnsi="Times New Roman"/>
          <w:snapToGrid/>
          <w:sz w:val="22"/>
          <w:szCs w:val="22"/>
          <w:lang w:val="en-US" w:eastAsia="fr-BE"/>
        </w:rPr>
        <w:t xml:space="preserve"> that </w:t>
      </w:r>
      <w:r w:rsidRPr="00A3002D">
        <w:rPr>
          <w:rFonts w:ascii="Times New Roman" w:hAnsi="Times New Roman"/>
          <w:snapToGrid/>
          <w:sz w:val="22"/>
          <w:szCs w:val="22"/>
          <w:lang w:eastAsia="fr-BE"/>
        </w:rPr>
        <w:t xml:space="preserve">certain communications will be made by electronic means through the </w:t>
      </w:r>
      <w:r w:rsidRPr="00A3002D">
        <w:rPr>
          <w:rFonts w:ascii="Times New Roman" w:hAnsi="Times New Roman"/>
          <w:snapToGrid/>
          <w:sz w:val="22"/>
          <w:szCs w:val="22"/>
          <w:lang w:eastAsia="en-GB"/>
        </w:rPr>
        <w:t>EU Funding &amp; Tenders Portal (the</w:t>
      </w:r>
      <w:r w:rsidRPr="00A3002D">
        <w:rPr>
          <w:rFonts w:ascii="Times New Roman" w:hAnsi="Times New Roman"/>
          <w:snapToGrid/>
          <w:sz w:val="22"/>
          <w:szCs w:val="22"/>
          <w:lang w:eastAsia="fr-BE"/>
        </w:rPr>
        <w:t xml:space="preserve"> Portal), in accordance with the Portal Terms and Conditions and using the forms and templates provided there. The Portal can be accessed via the following URL: </w:t>
      </w:r>
      <w:hyperlink r:id="rId9" w:history="1">
        <w:r w:rsidRPr="00A3002D">
          <w:rPr>
            <w:rFonts w:ascii="Times New Roman" w:hAnsi="Times New Roman"/>
            <w:snapToGrid/>
            <w:color w:val="0000FF"/>
            <w:sz w:val="22"/>
            <w:szCs w:val="22"/>
            <w:u w:val="single"/>
            <w:lang w:eastAsia="fr-BE"/>
          </w:rPr>
          <w:t>https://ec.europa.eu/info/funding-tenders/opportunities/portal/</w:t>
        </w:r>
      </w:hyperlink>
      <w:r w:rsidRPr="00A3002D">
        <w:rPr>
          <w:rFonts w:ascii="Times New Roman" w:hAnsi="Times New Roman"/>
          <w:snapToGrid/>
          <w:sz w:val="22"/>
          <w:szCs w:val="22"/>
          <w:lang w:eastAsia="fr-BE"/>
        </w:rPr>
        <w:t xml:space="preserve"> </w:t>
      </w:r>
      <w:r w:rsidRPr="00A3002D">
        <w:rPr>
          <w:rFonts w:ascii="Times New Roman" w:hAnsi="Times New Roman"/>
          <w:snapToGrid/>
          <w:sz w:val="22"/>
          <w:szCs w:val="22"/>
          <w:lang w:val="en-US" w:eastAsia="fr-BE"/>
        </w:rPr>
        <w:t xml:space="preserve">The notification shall indicate whether all or only certain communications under the </w:t>
      </w:r>
      <w:r w:rsidRPr="00A3002D">
        <w:rPr>
          <w:rFonts w:ascii="Times New Roman" w:hAnsi="Times New Roman"/>
          <w:snapToGrid/>
          <w:color w:val="000000"/>
          <w:sz w:val="22"/>
          <w:szCs w:val="22"/>
          <w:lang w:eastAsia="fr-BE"/>
        </w:rPr>
        <w:t>contract</w:t>
      </w:r>
      <w:r w:rsidRPr="00A3002D">
        <w:rPr>
          <w:rFonts w:ascii="Times New Roman" w:hAnsi="Times New Roman"/>
          <w:snapToGrid/>
          <w:sz w:val="22"/>
          <w:szCs w:val="22"/>
          <w:lang w:val="en-US" w:eastAsia="fr-BE"/>
        </w:rPr>
        <w:t xml:space="preserve"> will take place through the Portal. The notification shall have full legal effect from the date specified therein, which shall allow a reasonable </w:t>
      </w:r>
      <w:proofErr w:type="gramStart"/>
      <w:r w:rsidRPr="00A3002D">
        <w:rPr>
          <w:rFonts w:ascii="Times New Roman" w:hAnsi="Times New Roman"/>
          <w:snapToGrid/>
          <w:sz w:val="22"/>
          <w:szCs w:val="22"/>
          <w:lang w:val="en-US" w:eastAsia="fr-BE"/>
        </w:rPr>
        <w:t>period of time</w:t>
      </w:r>
      <w:proofErr w:type="gramEnd"/>
      <w:r w:rsidRPr="00A3002D">
        <w:rPr>
          <w:rFonts w:ascii="Times New Roman" w:hAnsi="Times New Roman"/>
          <w:snapToGrid/>
          <w:sz w:val="22"/>
          <w:szCs w:val="22"/>
          <w:lang w:val="en-US" w:eastAsia="fr-BE"/>
        </w:rPr>
        <w:t xml:space="preserve"> for the contractor to complete all necessary steps to have access to </w:t>
      </w:r>
      <w:proofErr w:type="gramStart"/>
      <w:r w:rsidRPr="00A3002D">
        <w:rPr>
          <w:rFonts w:ascii="Times New Roman" w:hAnsi="Times New Roman"/>
          <w:snapToGrid/>
          <w:sz w:val="22"/>
          <w:szCs w:val="22"/>
          <w:lang w:val="en-US" w:eastAsia="fr-BE"/>
        </w:rPr>
        <w:t>the Portal</w:t>
      </w:r>
      <w:proofErr w:type="gramEnd"/>
      <w:r w:rsidRPr="00A3002D">
        <w:rPr>
          <w:rFonts w:ascii="Times New Roman" w:hAnsi="Times New Roman"/>
          <w:snapToGrid/>
          <w:sz w:val="22"/>
          <w:szCs w:val="22"/>
          <w:lang w:val="en-US" w:eastAsia="fr-BE"/>
        </w:rPr>
        <w:t>.</w:t>
      </w:r>
      <w:r w:rsidRPr="00A3002D">
        <w:rPr>
          <w:rFonts w:ascii="Times New Roman" w:hAnsi="Times New Roman"/>
          <w:snapToGrid/>
          <w:sz w:val="22"/>
          <w:szCs w:val="22"/>
          <w:lang w:eastAsia="fr-BE"/>
        </w:rPr>
        <w:t xml:space="preserve"> The activation of the use of the Portal shall be </w:t>
      </w:r>
      <w:r w:rsidRPr="00A3002D">
        <w:rPr>
          <w:rFonts w:ascii="Times New Roman" w:hAnsi="Times New Roman"/>
          <w:snapToGrid/>
          <w:sz w:val="22"/>
          <w:szCs w:val="22"/>
          <w:lang w:val="en-US" w:eastAsia="fr-BE"/>
        </w:rPr>
        <w:t>at no additional cost for the contracting authority</w:t>
      </w:r>
      <w:r w:rsidRPr="00A3002D">
        <w:rPr>
          <w:rFonts w:ascii="Times New Roman" w:hAnsi="Times New Roman"/>
          <w:snapToGrid/>
          <w:sz w:val="22"/>
          <w:szCs w:val="22"/>
          <w:lang w:eastAsia="fr-BE"/>
        </w:rPr>
        <w:t>.</w:t>
      </w:r>
    </w:p>
    <w:p w14:paraId="3362C1D0" w14:textId="77777777" w:rsidR="003F3783" w:rsidRPr="00A3002D" w:rsidRDefault="003F3783" w:rsidP="00B5440B">
      <w:pPr>
        <w:spacing w:before="0"/>
        <w:ind w:left="1134"/>
        <w:jc w:val="both"/>
        <w:textAlignment w:val="baseline"/>
        <w:rPr>
          <w:rFonts w:ascii="Times New Roman" w:hAnsi="Times New Roman"/>
          <w:snapToGrid/>
          <w:sz w:val="24"/>
          <w:szCs w:val="24"/>
          <w:lang w:val="en-IE" w:eastAsia="fr-BE"/>
        </w:rPr>
      </w:pPr>
      <w:r w:rsidRPr="00A3002D">
        <w:rPr>
          <w:rFonts w:ascii="Times New Roman" w:hAnsi="Times New Roman"/>
          <w:snapToGrid/>
          <w:sz w:val="22"/>
          <w:szCs w:val="22"/>
          <w:lang w:eastAsia="fr-BE"/>
        </w:rPr>
        <w:t xml:space="preserve">If the use of the Portal is activated, any communication covered by the activation notification related to the implementation of this </w:t>
      </w:r>
      <w:r w:rsidRPr="00A3002D">
        <w:rPr>
          <w:rFonts w:ascii="Times New Roman" w:hAnsi="Times New Roman"/>
          <w:snapToGrid/>
          <w:color w:val="000000"/>
          <w:sz w:val="22"/>
          <w:szCs w:val="22"/>
          <w:lang w:eastAsia="fr-BE"/>
        </w:rPr>
        <w:t>contract</w:t>
      </w:r>
      <w:r w:rsidRPr="00A3002D">
        <w:rPr>
          <w:rFonts w:ascii="Times New Roman" w:hAnsi="Times New Roman"/>
          <w:snapToGrid/>
          <w:sz w:val="22"/>
          <w:szCs w:val="22"/>
          <w:lang w:eastAsia="fr-BE"/>
        </w:rPr>
        <w:t xml:space="preserve"> shall be made through the </w:t>
      </w:r>
      <w:r w:rsidRPr="00A3002D">
        <w:rPr>
          <w:rFonts w:ascii="Times New Roman" w:hAnsi="Times New Roman"/>
          <w:bCs/>
          <w:snapToGrid/>
          <w:sz w:val="22"/>
          <w:szCs w:val="22"/>
          <w:lang w:eastAsia="fr-BE"/>
        </w:rPr>
        <w:t>Portal</w:t>
      </w:r>
      <w:r w:rsidRPr="00A3002D">
        <w:rPr>
          <w:rFonts w:ascii="Times New Roman" w:hAnsi="Times New Roman"/>
          <w:bCs/>
          <w:snapToGrid/>
          <w:sz w:val="22"/>
          <w:szCs w:val="22"/>
          <w:lang w:val="en-IE" w:eastAsia="fr-BE"/>
        </w:rPr>
        <w:t xml:space="preserve"> </w:t>
      </w:r>
      <w:r w:rsidRPr="00A3002D">
        <w:rPr>
          <w:rFonts w:ascii="Times New Roman" w:hAnsi="Times New Roman"/>
          <w:bCs/>
          <w:snapToGrid/>
          <w:sz w:val="22"/>
          <w:szCs w:val="22"/>
          <w:lang w:eastAsia="fr-BE"/>
        </w:rPr>
        <w:t>(except if explicitly instructed otherwise by the contracting authority or if communication via the Portal is hindered by factors beyond the control of the parties).</w:t>
      </w:r>
    </w:p>
    <w:p w14:paraId="6EB22AB7" w14:textId="77777777" w:rsidR="003F3783" w:rsidRPr="00A3002D" w:rsidRDefault="003F3783" w:rsidP="00B5440B">
      <w:pPr>
        <w:spacing w:before="0"/>
        <w:ind w:left="1134"/>
        <w:jc w:val="both"/>
        <w:textAlignment w:val="baseline"/>
        <w:rPr>
          <w:rFonts w:ascii="Times New Roman" w:hAnsi="Times New Roman"/>
          <w:snapToGrid/>
          <w:sz w:val="24"/>
          <w:szCs w:val="24"/>
        </w:rPr>
      </w:pPr>
      <w:r w:rsidRPr="00A3002D">
        <w:rPr>
          <w:rFonts w:ascii="Times New Roman" w:hAnsi="Times New Roman"/>
          <w:snapToGrid/>
          <w:sz w:val="22"/>
          <w:szCs w:val="22"/>
          <w:lang w:val="en-US" w:eastAsia="en-GB"/>
        </w:rPr>
        <w:t xml:space="preserve">Communications by contractors through </w:t>
      </w:r>
      <w:proofErr w:type="gramStart"/>
      <w:r w:rsidRPr="00A3002D">
        <w:rPr>
          <w:rFonts w:ascii="Times New Roman" w:hAnsi="Times New Roman"/>
          <w:snapToGrid/>
          <w:sz w:val="22"/>
          <w:szCs w:val="22"/>
          <w:lang w:val="en-US" w:eastAsia="en-GB"/>
        </w:rPr>
        <w:t>the Portal</w:t>
      </w:r>
      <w:proofErr w:type="gramEnd"/>
      <w:r w:rsidRPr="00A3002D">
        <w:rPr>
          <w:rFonts w:ascii="Times New Roman" w:hAnsi="Times New Roman"/>
          <w:snapToGrid/>
          <w:sz w:val="22"/>
          <w:szCs w:val="22"/>
          <w:lang w:val="en-US" w:eastAsia="en-GB"/>
        </w:rPr>
        <w:t xml:space="preserve"> must be made by </w:t>
      </w:r>
      <w:proofErr w:type="gramStart"/>
      <w:r w:rsidRPr="00A3002D">
        <w:rPr>
          <w:rFonts w:ascii="Times New Roman" w:hAnsi="Times New Roman"/>
          <w:snapToGrid/>
          <w:sz w:val="22"/>
          <w:szCs w:val="22"/>
          <w:lang w:val="en-US" w:eastAsia="en-GB"/>
        </w:rPr>
        <w:t>persons</w:t>
      </w:r>
      <w:proofErr w:type="gramEnd"/>
      <w:r w:rsidRPr="00A3002D">
        <w:rPr>
          <w:rFonts w:ascii="Times New Roman" w:hAnsi="Times New Roman"/>
          <w:snapToGrid/>
          <w:sz w:val="22"/>
          <w:szCs w:val="22"/>
          <w:lang w:val="en-US" w:eastAsia="en-GB"/>
        </w:rPr>
        <w:t xml:space="preserve"> </w:t>
      </w:r>
      <w:proofErr w:type="spellStart"/>
      <w:r w:rsidRPr="00A3002D">
        <w:rPr>
          <w:rFonts w:ascii="Times New Roman" w:hAnsi="Times New Roman"/>
          <w:snapToGrid/>
          <w:sz w:val="22"/>
          <w:szCs w:val="22"/>
          <w:lang w:val="en-US" w:eastAsia="en-GB"/>
        </w:rPr>
        <w:t>authorised</w:t>
      </w:r>
      <w:proofErr w:type="spellEnd"/>
      <w:r w:rsidRPr="00A3002D">
        <w:rPr>
          <w:rFonts w:ascii="Times New Roman" w:hAnsi="Times New Roman"/>
          <w:snapToGrid/>
          <w:sz w:val="22"/>
          <w:szCs w:val="22"/>
          <w:lang w:val="en-US" w:eastAsia="en-GB"/>
        </w:rPr>
        <w:t xml:space="preserve"> according to the Portal Terms and Conditions. </w:t>
      </w:r>
      <w:r w:rsidRPr="00A3002D">
        <w:rPr>
          <w:rFonts w:ascii="Times New Roman" w:hAnsi="Times New Roman"/>
          <w:snapToGrid/>
          <w:sz w:val="22"/>
          <w:szCs w:val="22"/>
          <w:lang w:eastAsia="fr-BE"/>
        </w:rPr>
        <w:t>For naming the authorised persons to use the Portal, each contractor must designate before the date of effect of the activation notification a ‘legal entity appointed representative (LEAR)’. The role and tasks of the LEAR are stipulated in their appointment letter (see Portal Terms and Conditions).</w:t>
      </w:r>
    </w:p>
    <w:p w14:paraId="441DACBC" w14:textId="77777777" w:rsidR="003F3783" w:rsidRPr="00A3002D" w:rsidRDefault="003F3783" w:rsidP="00B5440B">
      <w:pPr>
        <w:spacing w:before="0"/>
        <w:ind w:left="1134"/>
        <w:jc w:val="both"/>
        <w:textAlignment w:val="baseline"/>
        <w:rPr>
          <w:rFonts w:ascii="Times New Roman" w:hAnsi="Times New Roman"/>
          <w:snapToGrid/>
          <w:sz w:val="24"/>
          <w:lang w:eastAsia="fr-BE"/>
        </w:rPr>
      </w:pPr>
      <w:r w:rsidRPr="00A3002D">
        <w:rPr>
          <w:rFonts w:ascii="Times New Roman" w:hAnsi="Times New Roman"/>
          <w:snapToGrid/>
          <w:sz w:val="22"/>
          <w:szCs w:val="22"/>
          <w:lang w:eastAsia="fr-BE"/>
        </w:rPr>
        <w:t>If the communication via the Portal is hindered, instructions will be provided by the contracting authority by email and may also be published on the Portal.</w:t>
      </w:r>
    </w:p>
    <w:p w14:paraId="417884AF" w14:textId="77777777" w:rsidR="003F3783" w:rsidRPr="00A3002D" w:rsidRDefault="003F3783" w:rsidP="00B5440B">
      <w:pPr>
        <w:spacing w:before="0"/>
        <w:ind w:left="1134"/>
        <w:jc w:val="both"/>
        <w:textAlignment w:val="baseline"/>
        <w:rPr>
          <w:rFonts w:ascii="Times New Roman" w:hAnsi="Times New Roman"/>
          <w:snapToGrid/>
          <w:sz w:val="22"/>
          <w:szCs w:val="22"/>
          <w:lang w:eastAsia="fr-BE"/>
        </w:rPr>
      </w:pPr>
      <w:proofErr w:type="gramStart"/>
      <w:r w:rsidRPr="00A3002D">
        <w:rPr>
          <w:rFonts w:ascii="Times New Roman" w:hAnsi="Times New Roman"/>
          <w:snapToGrid/>
          <w:sz w:val="22"/>
          <w:szCs w:val="22"/>
          <w:lang w:eastAsia="fr-BE"/>
        </w:rPr>
        <w:t>During the course of</w:t>
      </w:r>
      <w:proofErr w:type="gramEnd"/>
      <w:r w:rsidRPr="00A3002D">
        <w:rPr>
          <w:rFonts w:ascii="Times New Roman" w:hAnsi="Times New Roman"/>
          <w:snapToGrid/>
          <w:sz w:val="22"/>
          <w:szCs w:val="22"/>
          <w:lang w:eastAsia="fr-BE"/>
        </w:rPr>
        <w:t xml:space="preserve"> the </w:t>
      </w:r>
      <w:r w:rsidRPr="00A3002D">
        <w:rPr>
          <w:rFonts w:ascii="Times New Roman" w:hAnsi="Times New Roman"/>
          <w:snapToGrid/>
          <w:color w:val="000000"/>
          <w:sz w:val="22"/>
          <w:szCs w:val="22"/>
          <w:lang w:eastAsia="fr-BE"/>
        </w:rPr>
        <w:t>contract</w:t>
      </w:r>
      <w:r w:rsidRPr="00A3002D">
        <w:rPr>
          <w:rFonts w:ascii="Times New Roman" w:hAnsi="Times New Roman"/>
          <w:snapToGrid/>
          <w:sz w:val="22"/>
          <w:szCs w:val="22"/>
          <w:lang w:eastAsia="fr-BE"/>
        </w:rPr>
        <w:t xml:space="preserve">, the contracting authority reserve(s) the right to further extend the coverage of the communications made through the Portal (if its use has been already activated) or to activate the use of other electronic exchange systems, </w:t>
      </w:r>
      <w:r w:rsidRPr="00A3002D">
        <w:rPr>
          <w:rFonts w:ascii="Times New Roman" w:hAnsi="Times New Roman"/>
          <w:snapToGrid/>
          <w:sz w:val="22"/>
          <w:szCs w:val="22"/>
          <w:lang w:val="en-US" w:eastAsia="fr-BE"/>
        </w:rPr>
        <w:t>at no additional cost for the contracting authority</w:t>
      </w:r>
      <w:r w:rsidRPr="00A3002D">
        <w:rPr>
          <w:rFonts w:ascii="Times New Roman" w:hAnsi="Times New Roman"/>
          <w:snapToGrid/>
          <w:sz w:val="22"/>
          <w:szCs w:val="22"/>
          <w:lang w:eastAsia="fr-BE"/>
        </w:rPr>
        <w:t>.</w:t>
      </w:r>
    </w:p>
    <w:p w14:paraId="478705FD" w14:textId="38C84B61" w:rsidR="003F3783" w:rsidRPr="003F3783" w:rsidRDefault="003F3783" w:rsidP="00B5440B">
      <w:pPr>
        <w:spacing w:before="0" w:after="240"/>
        <w:ind w:left="1134"/>
        <w:jc w:val="both"/>
        <w:rPr>
          <w:rFonts w:ascii="Times New Roman" w:hAnsi="Times New Roman"/>
          <w:snapToGrid/>
          <w:color w:val="000000"/>
          <w:sz w:val="22"/>
          <w:szCs w:val="22"/>
          <w:lang w:eastAsia="fr-BE"/>
        </w:rPr>
      </w:pPr>
      <w:r w:rsidRPr="00A3002D">
        <w:rPr>
          <w:rFonts w:ascii="Times New Roman" w:hAnsi="Times New Roman"/>
          <w:snapToGrid/>
          <w:sz w:val="22"/>
          <w:szCs w:val="22"/>
          <w:lang w:eastAsia="fr-BE"/>
        </w:rPr>
        <w:t xml:space="preserve">In case of discrepancy between the clauses of the </w:t>
      </w:r>
      <w:r w:rsidRPr="00A3002D">
        <w:rPr>
          <w:rFonts w:ascii="Times New Roman" w:hAnsi="Times New Roman"/>
          <w:snapToGrid/>
          <w:color w:val="000000"/>
          <w:sz w:val="22"/>
          <w:szCs w:val="22"/>
          <w:lang w:eastAsia="fr-BE"/>
        </w:rPr>
        <w:t>Portal Terms and Conditions or Terms and Conditions of other electronic exchange system and the clauses of this contract, the clauses of this contract (including its annexes) shall prevail.</w:t>
      </w:r>
    </w:p>
    <w:p w14:paraId="7F1BE0E1" w14:textId="1471D4E6" w:rsidR="003F3783" w:rsidRDefault="003F3783" w:rsidP="00B5440B">
      <w:pPr>
        <w:ind w:left="1134" w:hanging="992"/>
        <w:jc w:val="both"/>
        <w:rPr>
          <w:rFonts w:ascii="Times New Roman" w:hAnsi="Times New Roman"/>
          <w:iCs/>
          <w:sz w:val="22"/>
          <w:szCs w:val="22"/>
        </w:rPr>
      </w:pPr>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lastRenderedPageBreak/>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proofErr w:type="gramStart"/>
      <w:r w:rsidRPr="003F3783">
        <w:rPr>
          <w:rFonts w:ascii="Times New Roman" w:hAnsi="Times New Roman"/>
          <w:snapToGrid/>
          <w:sz w:val="22"/>
          <w:szCs w:val="22"/>
          <w:lang w:eastAsia="fr-BE"/>
        </w:rPr>
        <w:t>For the purpose of</w:t>
      </w:r>
      <w:proofErr w:type="gramEnd"/>
      <w:r w:rsidRPr="003F3783">
        <w:rPr>
          <w:rFonts w:ascii="Times New Roman" w:hAnsi="Times New Roman"/>
          <w:snapToGrid/>
          <w:sz w:val="22"/>
          <w:szCs w:val="22"/>
          <w:lang w:eastAsia="fr-BE"/>
        </w:rPr>
        <w:t xml:space="preserve">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6592EBC5" w14:textId="26B26B7D" w:rsidR="003F3783" w:rsidRPr="00D216E3" w:rsidRDefault="003F3783" w:rsidP="00AE63EB">
      <w:pPr>
        <w:spacing w:before="0" w:after="100" w:afterAutospacing="1"/>
        <w:ind w:left="414" w:firstLine="720"/>
        <w:textAlignment w:val="baseline"/>
        <w:rPr>
          <w:rFonts w:ascii="Times New Roman" w:hAnsi="Times New Roman"/>
          <w:snapToGrid/>
          <w:sz w:val="22"/>
          <w:szCs w:val="22"/>
          <w:lang w:val="en-IE" w:eastAsia="fr-BE"/>
        </w:rPr>
      </w:pPr>
      <w:r w:rsidRPr="00D216E3">
        <w:rPr>
          <w:rFonts w:ascii="Times New Roman" w:hAnsi="Times New Roman"/>
          <w:snapToGrid/>
          <w:sz w:val="22"/>
          <w:szCs w:val="22"/>
          <w:lang w:val="en-IE" w:eastAsia="fr-BE"/>
        </w:rPr>
        <w:t>Contracting Authority</w:t>
      </w:r>
      <w:r w:rsidR="00A3002D" w:rsidRPr="00D216E3">
        <w:rPr>
          <w:rFonts w:ascii="Times New Roman" w:hAnsi="Times New Roman"/>
          <w:snapToGrid/>
          <w:sz w:val="22"/>
          <w:szCs w:val="22"/>
          <w:lang w:val="en-IE" w:eastAsia="fr-BE"/>
        </w:rPr>
        <w:t>:</w:t>
      </w:r>
    </w:p>
    <w:p w14:paraId="177CC2A0" w14:textId="77777777" w:rsidR="00A3002D" w:rsidRDefault="00A3002D" w:rsidP="00A3002D">
      <w:pPr>
        <w:spacing w:before="0" w:after="0"/>
        <w:ind w:left="1134"/>
        <w:rPr>
          <w:rFonts w:ascii="Times New Roman" w:hAnsi="Times New Roman"/>
          <w:sz w:val="22"/>
          <w:szCs w:val="22"/>
        </w:rPr>
      </w:pPr>
      <w:r w:rsidRPr="00A3002D">
        <w:rPr>
          <w:rFonts w:ascii="Times New Roman" w:hAnsi="Times New Roman"/>
          <w:sz w:val="22"/>
          <w:szCs w:val="22"/>
        </w:rPr>
        <w:t>Marijana Rilke</w:t>
      </w:r>
      <w:r>
        <w:rPr>
          <w:rFonts w:ascii="Times New Roman" w:hAnsi="Times New Roman"/>
          <w:sz w:val="22"/>
          <w:szCs w:val="22"/>
        </w:rPr>
        <w:t xml:space="preserve"> </w:t>
      </w:r>
    </w:p>
    <w:p w14:paraId="35F6923A" w14:textId="77777777" w:rsidR="00A3002D" w:rsidRDefault="00A3002D" w:rsidP="00A3002D">
      <w:pPr>
        <w:spacing w:before="0" w:after="0"/>
        <w:ind w:left="1134"/>
        <w:rPr>
          <w:rFonts w:ascii="Times New Roman" w:hAnsi="Times New Roman"/>
          <w:sz w:val="22"/>
          <w:szCs w:val="22"/>
        </w:rPr>
      </w:pPr>
      <w:r w:rsidRPr="00A3002D">
        <w:rPr>
          <w:rFonts w:ascii="Times New Roman" w:hAnsi="Times New Roman"/>
          <w:sz w:val="22"/>
          <w:szCs w:val="22"/>
        </w:rPr>
        <w:t xml:space="preserve">Address: City of </w:t>
      </w:r>
      <w:proofErr w:type="spellStart"/>
      <w:r w:rsidRPr="00A3002D">
        <w:rPr>
          <w:rFonts w:ascii="Times New Roman" w:hAnsi="Times New Roman"/>
          <w:sz w:val="22"/>
          <w:szCs w:val="22"/>
        </w:rPr>
        <w:t>Sombor</w:t>
      </w:r>
      <w:proofErr w:type="spellEnd"/>
      <w:r w:rsidRPr="00A3002D">
        <w:rPr>
          <w:rFonts w:ascii="Times New Roman" w:hAnsi="Times New Roman"/>
          <w:sz w:val="22"/>
          <w:szCs w:val="22"/>
        </w:rPr>
        <w:t xml:space="preserve">, </w:t>
      </w:r>
      <w:proofErr w:type="spellStart"/>
      <w:r w:rsidRPr="00A3002D">
        <w:rPr>
          <w:rFonts w:ascii="Times New Roman" w:hAnsi="Times New Roman"/>
          <w:sz w:val="22"/>
          <w:szCs w:val="22"/>
        </w:rPr>
        <w:t>Trg</w:t>
      </w:r>
      <w:proofErr w:type="spellEnd"/>
      <w:r w:rsidRPr="00A3002D">
        <w:rPr>
          <w:rFonts w:ascii="Times New Roman" w:hAnsi="Times New Roman"/>
          <w:sz w:val="22"/>
          <w:szCs w:val="22"/>
        </w:rPr>
        <w:t xml:space="preserve"> </w:t>
      </w:r>
      <w:proofErr w:type="spellStart"/>
      <w:r w:rsidRPr="00A3002D">
        <w:rPr>
          <w:rFonts w:ascii="Times New Roman" w:hAnsi="Times New Roman"/>
          <w:sz w:val="22"/>
          <w:szCs w:val="22"/>
        </w:rPr>
        <w:t>cara</w:t>
      </w:r>
      <w:proofErr w:type="spellEnd"/>
      <w:r w:rsidRPr="00A3002D">
        <w:rPr>
          <w:rFonts w:ascii="Times New Roman" w:hAnsi="Times New Roman"/>
          <w:sz w:val="22"/>
          <w:szCs w:val="22"/>
        </w:rPr>
        <w:t xml:space="preserve"> </w:t>
      </w:r>
      <w:proofErr w:type="spellStart"/>
      <w:r w:rsidRPr="00A3002D">
        <w:rPr>
          <w:rFonts w:ascii="Times New Roman" w:hAnsi="Times New Roman"/>
          <w:sz w:val="22"/>
          <w:szCs w:val="22"/>
        </w:rPr>
        <w:t>Uroša</w:t>
      </w:r>
      <w:proofErr w:type="spellEnd"/>
      <w:r w:rsidRPr="00A3002D">
        <w:rPr>
          <w:rFonts w:ascii="Times New Roman" w:hAnsi="Times New Roman"/>
          <w:sz w:val="22"/>
          <w:szCs w:val="22"/>
        </w:rPr>
        <w:t xml:space="preserve"> 1, 25000 </w:t>
      </w:r>
      <w:proofErr w:type="spellStart"/>
      <w:r w:rsidRPr="00A3002D">
        <w:rPr>
          <w:rFonts w:ascii="Times New Roman" w:hAnsi="Times New Roman"/>
          <w:sz w:val="22"/>
          <w:szCs w:val="22"/>
        </w:rPr>
        <w:t>Sombor</w:t>
      </w:r>
      <w:proofErr w:type="spellEnd"/>
      <w:r w:rsidRPr="00A3002D">
        <w:rPr>
          <w:rFonts w:ascii="Times New Roman" w:hAnsi="Times New Roman"/>
          <w:sz w:val="22"/>
          <w:szCs w:val="22"/>
        </w:rPr>
        <w:t>, Republic of Serbia</w:t>
      </w:r>
    </w:p>
    <w:p w14:paraId="26FBDDA6" w14:textId="28433936" w:rsidR="00A3002D" w:rsidRDefault="00A3002D" w:rsidP="00A3002D">
      <w:pPr>
        <w:spacing w:before="0" w:after="0"/>
        <w:ind w:left="1134"/>
        <w:rPr>
          <w:rFonts w:ascii="Times New Roman" w:hAnsi="Times New Roman"/>
          <w:sz w:val="22"/>
          <w:szCs w:val="22"/>
        </w:rPr>
      </w:pPr>
      <w:r w:rsidRPr="00A3002D">
        <w:rPr>
          <w:rFonts w:ascii="Times New Roman" w:hAnsi="Times New Roman"/>
          <w:sz w:val="22"/>
          <w:szCs w:val="22"/>
        </w:rPr>
        <w:t xml:space="preserve">E-mail: </w:t>
      </w:r>
      <w:hyperlink r:id="rId10" w:history="1">
        <w:r w:rsidRPr="002715FA">
          <w:rPr>
            <w:rStyle w:val="Hyperlink"/>
            <w:rFonts w:ascii="Times New Roman" w:hAnsi="Times New Roman"/>
            <w:sz w:val="22"/>
            <w:szCs w:val="22"/>
          </w:rPr>
          <w:t>marijana.rilke@sombor.rs</w:t>
        </w:r>
      </w:hyperlink>
    </w:p>
    <w:p w14:paraId="77A232B6" w14:textId="13726791" w:rsidR="003F3783" w:rsidRPr="003F3783" w:rsidRDefault="003F3783" w:rsidP="00B5440B">
      <w:pPr>
        <w:spacing w:before="0" w:after="240"/>
        <w:ind w:left="1196"/>
        <w:textAlignment w:val="baseline"/>
        <w:rPr>
          <w:rFonts w:ascii="Times New Roman" w:hAnsi="Times New Roman"/>
          <w:snapToGrid/>
          <w:sz w:val="22"/>
          <w:szCs w:val="22"/>
          <w:lang w:val="en-IE" w:eastAsia="fr-BE"/>
        </w:rPr>
      </w:pPr>
    </w:p>
    <w:p w14:paraId="6BBB6A0E" w14:textId="77777777" w:rsidR="003F3783" w:rsidRP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Contractor (or leader in the case of a joint tender): </w:t>
      </w:r>
    </w:p>
    <w:p w14:paraId="0FE088EF"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name</w:t>
      </w:r>
      <w:r w:rsidRPr="002F3C0E">
        <w:rPr>
          <w:rFonts w:ascii="Times New Roman" w:hAnsi="Times New Roman"/>
          <w:snapToGrid/>
          <w:sz w:val="22"/>
          <w:szCs w:val="22"/>
          <w:lang w:eastAsia="fr-BE"/>
        </w:rPr>
        <w:t>] </w:t>
      </w:r>
    </w:p>
    <w:p w14:paraId="33F1F764"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Function</w:t>
      </w:r>
      <w:r w:rsidRPr="002F3C0E">
        <w:rPr>
          <w:rFonts w:ascii="Times New Roman" w:hAnsi="Times New Roman"/>
          <w:snapToGrid/>
          <w:sz w:val="22"/>
          <w:szCs w:val="22"/>
          <w:lang w:eastAsia="fr-BE"/>
        </w:rPr>
        <w:t>] </w:t>
      </w:r>
    </w:p>
    <w:p w14:paraId="64AC8481"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Company name</w:t>
      </w:r>
      <w:r w:rsidRPr="002F3C0E">
        <w:rPr>
          <w:rFonts w:ascii="Times New Roman" w:hAnsi="Times New Roman"/>
          <w:snapToGrid/>
          <w:sz w:val="22"/>
          <w:szCs w:val="22"/>
          <w:lang w:eastAsia="fr-BE"/>
        </w:rPr>
        <w:t>] </w:t>
      </w:r>
    </w:p>
    <w:p w14:paraId="49642626"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w:t>
      </w:r>
      <w:r w:rsidRPr="00B5440B">
        <w:rPr>
          <w:rFonts w:ascii="Times New Roman" w:hAnsi="Times New Roman"/>
          <w:snapToGrid/>
          <w:sz w:val="22"/>
          <w:szCs w:val="22"/>
          <w:shd w:val="clear" w:color="auto" w:fill="C0C0C0"/>
          <w:lang w:eastAsia="fr-BE"/>
        </w:rPr>
        <w:t>Full official address</w:t>
      </w:r>
      <w:r w:rsidRPr="002F3C0E">
        <w:rPr>
          <w:rFonts w:ascii="Times New Roman" w:hAnsi="Times New Roman"/>
          <w:snapToGrid/>
          <w:sz w:val="22"/>
          <w:szCs w:val="22"/>
          <w:lang w:eastAsia="fr-BE"/>
        </w:rPr>
        <w:t>] </w:t>
      </w:r>
    </w:p>
    <w:p w14:paraId="22185F1E" w14:textId="77777777" w:rsidR="003F3783" w:rsidRPr="002F3C0E" w:rsidRDefault="003F3783" w:rsidP="003F3783">
      <w:pPr>
        <w:spacing w:before="0" w:after="100" w:afterAutospacing="1"/>
        <w:ind w:left="1194"/>
        <w:textAlignment w:val="baseline"/>
        <w:rPr>
          <w:rFonts w:ascii="Times New Roman" w:hAnsi="Times New Roman"/>
          <w:snapToGrid/>
          <w:sz w:val="22"/>
          <w:szCs w:val="22"/>
          <w:lang w:eastAsia="fr-BE"/>
        </w:rPr>
      </w:pPr>
      <w:r w:rsidRPr="002F3C0E">
        <w:rPr>
          <w:rFonts w:ascii="Times New Roman" w:hAnsi="Times New Roman"/>
          <w:snapToGrid/>
          <w:sz w:val="22"/>
          <w:szCs w:val="22"/>
          <w:lang w:eastAsia="fr-BE"/>
        </w:rPr>
        <w:t>Email: [</w:t>
      </w:r>
      <w:r w:rsidRPr="00B5440B">
        <w:rPr>
          <w:rFonts w:ascii="Times New Roman" w:hAnsi="Times New Roman"/>
          <w:snapToGrid/>
          <w:sz w:val="22"/>
          <w:szCs w:val="22"/>
          <w:shd w:val="clear" w:color="auto" w:fill="C0C0C0"/>
          <w:lang w:eastAsia="fr-BE"/>
        </w:rPr>
        <w:t>complete</w:t>
      </w:r>
      <w:r w:rsidRPr="002F3C0E">
        <w:rPr>
          <w:rFonts w:ascii="Times New Roman" w:hAnsi="Times New Roman"/>
          <w:snapToGrid/>
          <w:sz w:val="22"/>
          <w:szCs w:val="22"/>
          <w:lang w:eastAsia="fr-BE"/>
        </w:rPr>
        <w:t>] </w:t>
      </w:r>
    </w:p>
    <w:bookmarkEnd w:id="6"/>
    <w:p w14:paraId="0080E9EE" w14:textId="13B63360" w:rsidR="0047783A" w:rsidRPr="001C7A55" w:rsidRDefault="0047783A" w:rsidP="004F7A0E">
      <w:pPr>
        <w:spacing w:before="240"/>
        <w:ind w:left="1134" w:hanging="1134"/>
        <w:jc w:val="both"/>
        <w:rPr>
          <w:rFonts w:ascii="Times New Roman" w:hAnsi="Times New Roman"/>
          <w:b/>
          <w:sz w:val="24"/>
          <w:szCs w:val="24"/>
        </w:rPr>
      </w:pPr>
      <w:r w:rsidRPr="001C7A55">
        <w:rPr>
          <w:rFonts w:ascii="Times New Roman" w:hAnsi="Times New Roman"/>
          <w:b/>
          <w:sz w:val="24"/>
          <w:szCs w:val="24"/>
        </w:rPr>
        <w:t>Article 6</w:t>
      </w:r>
      <w:r w:rsidRPr="001C7A55">
        <w:rPr>
          <w:rFonts w:ascii="Times New Roman" w:hAnsi="Times New Roman"/>
          <w:b/>
          <w:sz w:val="24"/>
          <w:szCs w:val="24"/>
        </w:rPr>
        <w:tab/>
        <w:t>Subcontracting</w:t>
      </w:r>
    </w:p>
    <w:p w14:paraId="6C9B0B7A" w14:textId="07708857" w:rsidR="0047783A" w:rsidRPr="003D6B6C" w:rsidRDefault="00923EDA" w:rsidP="004F7A0E">
      <w:pPr>
        <w:widowControl w:val="0"/>
        <w:ind w:left="1134" w:hanging="567"/>
        <w:jc w:val="both"/>
        <w:rPr>
          <w:rFonts w:ascii="Times New Roman" w:hAnsi="Times New Roman"/>
          <w:sz w:val="22"/>
          <w:szCs w:val="22"/>
        </w:rPr>
      </w:pPr>
      <w:r w:rsidRPr="001C7A55">
        <w:rPr>
          <w:rFonts w:ascii="Times New Roman" w:hAnsi="Times New Roman"/>
          <w:sz w:val="22"/>
          <w:szCs w:val="22"/>
        </w:rPr>
        <w:t>6.3</w:t>
      </w:r>
      <w:r w:rsidRPr="001C7A55">
        <w:rPr>
          <w:rFonts w:ascii="Times New Roman" w:hAnsi="Times New Roman"/>
          <w:sz w:val="22"/>
          <w:szCs w:val="22"/>
        </w:rPr>
        <w:tab/>
      </w:r>
      <w:r w:rsidR="001C7A55" w:rsidRPr="001C7A55">
        <w:rPr>
          <w:rFonts w:ascii="Times New Roman" w:hAnsi="Times New Roman"/>
          <w:b/>
          <w:sz w:val="24"/>
          <w:szCs w:val="24"/>
        </w:rPr>
        <w:t>N/A</w:t>
      </w:r>
      <w:r w:rsidR="0047783A" w:rsidRPr="001C7A55">
        <w:rPr>
          <w:rFonts w:ascii="Times New Roman" w:hAnsi="Times New Roman"/>
          <w:sz w:val="22"/>
          <w:szCs w:val="22"/>
        </w:rPr>
        <w:t>.</w:t>
      </w:r>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7"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7"/>
    </w:p>
    <w:p w14:paraId="09203E64" w14:textId="2F2838C9" w:rsidR="0047783A" w:rsidRPr="003D6B6C" w:rsidRDefault="001C7A55" w:rsidP="00B34179">
      <w:pPr>
        <w:jc w:val="both"/>
        <w:rPr>
          <w:rFonts w:ascii="Times New Roman" w:hAnsi="Times New Roman"/>
          <w:b/>
          <w:sz w:val="22"/>
          <w:szCs w:val="22"/>
        </w:rPr>
      </w:pPr>
      <w:r w:rsidRPr="00200BEC">
        <w:rPr>
          <w:rFonts w:ascii="Times New Roman" w:hAnsi="Times New Roman"/>
          <w:sz w:val="22"/>
          <w:szCs w:val="22"/>
        </w:rPr>
        <w:t>Any specific documents, other than those described in Article 11 of the Instruction to Tenderers, for submission by the Contractor to the Contracting Authority, are referred to in the Technical Specifications.</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8"/>
    </w:p>
    <w:p w14:paraId="5743C239" w14:textId="77777777" w:rsidR="001C7A55" w:rsidRPr="001C7A55" w:rsidRDefault="001C7A55" w:rsidP="001C7A55">
      <w:pPr>
        <w:jc w:val="both"/>
        <w:rPr>
          <w:rFonts w:ascii="Times New Roman" w:hAnsi="Times New Roman"/>
          <w:sz w:val="22"/>
          <w:szCs w:val="22"/>
          <w:lang w:val="en-US"/>
        </w:rPr>
      </w:pPr>
      <w:r w:rsidRPr="001C7A55">
        <w:rPr>
          <w:rFonts w:ascii="Times New Roman" w:hAnsi="Times New Roman"/>
          <w:sz w:val="22"/>
          <w:szCs w:val="22"/>
          <w:lang w:val="en-US"/>
        </w:rPr>
        <w:t>The Contractor shall, in performing the contract, comply with all applicable Serbian laws.</w:t>
      </w:r>
    </w:p>
    <w:p w14:paraId="5D7ED7E0" w14:textId="77777777" w:rsidR="001C7A55" w:rsidRPr="001C7A55" w:rsidRDefault="001C7A55" w:rsidP="001C7A55">
      <w:pPr>
        <w:jc w:val="both"/>
        <w:rPr>
          <w:rFonts w:ascii="Times New Roman" w:hAnsi="Times New Roman"/>
          <w:sz w:val="22"/>
          <w:szCs w:val="22"/>
          <w:lang w:val="en-US"/>
        </w:rPr>
      </w:pPr>
      <w:r w:rsidRPr="001C7A55">
        <w:rPr>
          <w:rFonts w:ascii="Times New Roman" w:hAnsi="Times New Roman"/>
          <w:sz w:val="22"/>
          <w:szCs w:val="22"/>
          <w:lang w:val="en-US"/>
        </w:rPr>
        <w:t xml:space="preserve">While the Contracting Authority agrees to use its contacts with the relevant authorities where appropriate to assist the Contractor in obtaining the required permits or import </w:t>
      </w:r>
      <w:proofErr w:type="spellStart"/>
      <w:r w:rsidRPr="001C7A55">
        <w:rPr>
          <w:rFonts w:ascii="Times New Roman" w:hAnsi="Times New Roman"/>
          <w:sz w:val="22"/>
          <w:szCs w:val="22"/>
          <w:lang w:val="en-US"/>
        </w:rPr>
        <w:t>licences</w:t>
      </w:r>
      <w:proofErr w:type="spellEnd"/>
      <w:r w:rsidRPr="001C7A55">
        <w:rPr>
          <w:rFonts w:ascii="Times New Roman" w:hAnsi="Times New Roman"/>
          <w:sz w:val="22"/>
          <w:szCs w:val="22"/>
          <w:lang w:val="en-US"/>
        </w:rPr>
        <w:t xml:space="preserve">, the primary and ultimate responsibility for obtaining these permits and </w:t>
      </w:r>
      <w:proofErr w:type="spellStart"/>
      <w:r w:rsidRPr="001C7A55">
        <w:rPr>
          <w:rFonts w:ascii="Times New Roman" w:hAnsi="Times New Roman"/>
          <w:sz w:val="22"/>
          <w:szCs w:val="22"/>
          <w:lang w:val="en-US"/>
        </w:rPr>
        <w:t>licences</w:t>
      </w:r>
      <w:proofErr w:type="spellEnd"/>
      <w:r w:rsidRPr="001C7A55">
        <w:rPr>
          <w:rFonts w:ascii="Times New Roman" w:hAnsi="Times New Roman"/>
          <w:sz w:val="22"/>
          <w:szCs w:val="22"/>
          <w:lang w:val="en-US"/>
        </w:rPr>
        <w:t xml:space="preserve"> lies with the Contractor, who shall keep the Project Manager informed.</w:t>
      </w:r>
    </w:p>
    <w:p w14:paraId="662C9E0A" w14:textId="77777777" w:rsidR="001C7A55" w:rsidRPr="001C7A55" w:rsidRDefault="001C7A55" w:rsidP="001C7A55">
      <w:pPr>
        <w:jc w:val="both"/>
        <w:rPr>
          <w:rFonts w:ascii="Times New Roman" w:hAnsi="Times New Roman"/>
          <w:sz w:val="22"/>
          <w:szCs w:val="22"/>
          <w:lang w:val="en-US"/>
        </w:rPr>
      </w:pPr>
      <w:r w:rsidRPr="001C7A55">
        <w:rPr>
          <w:rFonts w:ascii="Times New Roman" w:hAnsi="Times New Roman"/>
          <w:sz w:val="22"/>
          <w:szCs w:val="22"/>
          <w:lang w:val="en-US"/>
        </w:rPr>
        <w:t xml:space="preserve">If the Contractor is late in applying for or fails to apply for such permits or </w:t>
      </w:r>
      <w:proofErr w:type="spellStart"/>
      <w:r w:rsidRPr="001C7A55">
        <w:rPr>
          <w:rFonts w:ascii="Times New Roman" w:hAnsi="Times New Roman"/>
          <w:sz w:val="22"/>
          <w:szCs w:val="22"/>
          <w:lang w:val="en-US"/>
        </w:rPr>
        <w:t>licences</w:t>
      </w:r>
      <w:proofErr w:type="spellEnd"/>
      <w:r w:rsidRPr="001C7A55">
        <w:rPr>
          <w:rFonts w:ascii="Times New Roman" w:hAnsi="Times New Roman"/>
          <w:sz w:val="22"/>
          <w:szCs w:val="22"/>
          <w:lang w:val="en-US"/>
        </w:rPr>
        <w:t>, it may not claim any extension of the period of execution or additional costs as a result.</w:t>
      </w:r>
    </w:p>
    <w:p w14:paraId="58B7D487" w14:textId="77777777" w:rsidR="001C7A55" w:rsidRPr="001C7A55" w:rsidRDefault="001C7A55" w:rsidP="001C7A55">
      <w:pPr>
        <w:jc w:val="both"/>
        <w:rPr>
          <w:rFonts w:ascii="Times New Roman" w:hAnsi="Times New Roman"/>
          <w:sz w:val="22"/>
          <w:szCs w:val="22"/>
          <w:lang w:val="en-US"/>
        </w:rPr>
      </w:pPr>
      <w:r w:rsidRPr="001C7A55">
        <w:rPr>
          <w:rFonts w:ascii="Times New Roman" w:hAnsi="Times New Roman"/>
          <w:sz w:val="22"/>
          <w:szCs w:val="22"/>
          <w:lang w:val="en-US"/>
        </w:rPr>
        <w:t xml:space="preserve">The Contractor shall pay all taxes, duties, and fees and obtain all permits, </w:t>
      </w:r>
      <w:proofErr w:type="spellStart"/>
      <w:r w:rsidRPr="001C7A55">
        <w:rPr>
          <w:rFonts w:ascii="Times New Roman" w:hAnsi="Times New Roman"/>
          <w:sz w:val="22"/>
          <w:szCs w:val="22"/>
          <w:lang w:val="en-US"/>
        </w:rPr>
        <w:t>licences</w:t>
      </w:r>
      <w:proofErr w:type="spellEnd"/>
      <w:r w:rsidRPr="001C7A55">
        <w:rPr>
          <w:rFonts w:ascii="Times New Roman" w:hAnsi="Times New Roman"/>
          <w:sz w:val="22"/>
          <w:szCs w:val="22"/>
          <w:lang w:val="en-US"/>
        </w:rPr>
        <w:t xml:space="preserve">, and approvals that may be required by the national authorities in Serbia in relation to the contract. The Contractor is responsible for timely </w:t>
      </w:r>
      <w:proofErr w:type="spellStart"/>
      <w:r w:rsidRPr="001C7A55">
        <w:rPr>
          <w:rFonts w:ascii="Times New Roman" w:hAnsi="Times New Roman"/>
          <w:sz w:val="22"/>
          <w:szCs w:val="22"/>
          <w:lang w:val="en-US"/>
        </w:rPr>
        <w:t>familiarisation</w:t>
      </w:r>
      <w:proofErr w:type="spellEnd"/>
      <w:r w:rsidRPr="001C7A55">
        <w:rPr>
          <w:rFonts w:ascii="Times New Roman" w:hAnsi="Times New Roman"/>
          <w:sz w:val="22"/>
          <w:szCs w:val="22"/>
          <w:lang w:val="en-US"/>
        </w:rPr>
        <w:t xml:space="preserve"> with all relevant legal provisions in force in Serbia, including those required by the competent national authorities for the import, permitting, or customs clearance of the goods, </w:t>
      </w:r>
      <w:proofErr w:type="gramStart"/>
      <w:r w:rsidRPr="001C7A55">
        <w:rPr>
          <w:rFonts w:ascii="Times New Roman" w:hAnsi="Times New Roman"/>
          <w:sz w:val="22"/>
          <w:szCs w:val="22"/>
          <w:lang w:val="en-US"/>
        </w:rPr>
        <w:t>in order to</w:t>
      </w:r>
      <w:proofErr w:type="gramEnd"/>
      <w:r w:rsidRPr="001C7A55">
        <w:rPr>
          <w:rFonts w:ascii="Times New Roman" w:hAnsi="Times New Roman"/>
          <w:sz w:val="22"/>
          <w:szCs w:val="22"/>
          <w:lang w:val="en-US"/>
        </w:rPr>
        <w:t xml:space="preserve"> avoid any associated delays during the implementation period.</w:t>
      </w:r>
    </w:p>
    <w:p w14:paraId="490BDFDD" w14:textId="36A0B69C" w:rsidR="0047783A" w:rsidRPr="001C7A55" w:rsidRDefault="001C7A55" w:rsidP="00B34179">
      <w:pPr>
        <w:jc w:val="both"/>
        <w:rPr>
          <w:rFonts w:ascii="Times New Roman" w:hAnsi="Times New Roman"/>
          <w:sz w:val="22"/>
          <w:szCs w:val="22"/>
          <w:lang w:val="en-US"/>
        </w:rPr>
      </w:pPr>
      <w:r w:rsidRPr="001C7A55">
        <w:rPr>
          <w:rFonts w:ascii="Times New Roman" w:hAnsi="Times New Roman"/>
          <w:sz w:val="22"/>
          <w:szCs w:val="22"/>
          <w:lang w:val="en-US"/>
        </w:rPr>
        <w:t>The Contractor shall indemnify and hold the Contracting Authority harmless from any consequences resulting from failure to comply with these obligations or from any resulting delays.</w:t>
      </w:r>
    </w:p>
    <w:p w14:paraId="6797F7C0" w14:textId="77777777" w:rsidR="00E0396B" w:rsidRPr="00B5440B" w:rsidRDefault="00E0396B" w:rsidP="00FE689C">
      <w:pPr>
        <w:tabs>
          <w:tab w:val="left" w:pos="1134"/>
        </w:tabs>
        <w:jc w:val="both"/>
        <w:rPr>
          <w:rFonts w:ascii="Times New Roman" w:hAnsi="Times New Roman"/>
          <w:b/>
          <w:sz w:val="24"/>
          <w:szCs w:val="24"/>
        </w:rPr>
      </w:pPr>
      <w:r w:rsidRPr="00B5440B">
        <w:rPr>
          <w:rFonts w:ascii="Times New Roman" w:hAnsi="Times New Roman"/>
          <w:b/>
          <w:sz w:val="24"/>
          <w:szCs w:val="24"/>
        </w:rPr>
        <w:lastRenderedPageBreak/>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06565366"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1C7A55">
        <w:rPr>
          <w:rFonts w:ascii="Times New Roman" w:hAnsi="Times New Roman"/>
          <w:sz w:val="22"/>
          <w:szCs w:val="22"/>
        </w:rPr>
        <w:t>V</w:t>
      </w:r>
      <w:r w:rsidR="001C7A55" w:rsidRPr="001C7A55">
        <w:rPr>
          <w:rFonts w:ascii="Times New Roman" w:hAnsi="Times New Roman"/>
          <w:sz w:val="22"/>
          <w:szCs w:val="22"/>
        </w:rPr>
        <w:t>isibility obligations will be covered by the Contracting Authority</w:t>
      </w:r>
      <w:r w:rsidR="003F0A49">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9"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9"/>
    </w:p>
    <w:p w14:paraId="04B63533" w14:textId="533BC40D" w:rsidR="008B230C" w:rsidRPr="003D6B6C" w:rsidRDefault="0047783A" w:rsidP="003F0A49">
      <w:pPr>
        <w:pStyle w:val="Heading2"/>
        <w:keepNext w:val="0"/>
        <w:numPr>
          <w:ilvl w:val="1"/>
          <w:numId w:val="0"/>
        </w:numPr>
        <w:spacing w:before="0"/>
        <w:ind w:left="1134" w:hanging="708"/>
        <w:jc w:val="both"/>
        <w:rPr>
          <w:rFonts w:ascii="Times New Roman" w:hAnsi="Times New Roman"/>
          <w:sz w:val="22"/>
          <w:szCs w:val="22"/>
        </w:rPr>
      </w:pPr>
      <w:r w:rsidRPr="003F0A49">
        <w:rPr>
          <w:rFonts w:ascii="Times New Roman" w:hAnsi="Times New Roman"/>
          <w:sz w:val="22"/>
          <w:szCs w:val="22"/>
          <w:lang w:val="en-GB"/>
        </w:rPr>
        <w:t>10.1</w:t>
      </w:r>
      <w:r w:rsidRPr="003F0A49">
        <w:rPr>
          <w:rFonts w:ascii="Times New Roman" w:hAnsi="Times New Roman"/>
          <w:sz w:val="22"/>
          <w:szCs w:val="22"/>
          <w:lang w:val="en-GB"/>
        </w:rPr>
        <w:tab/>
      </w:r>
      <w:r w:rsidR="003F0A49" w:rsidRPr="003F0A49">
        <w:rPr>
          <w:rFonts w:ascii="Times New Roman" w:hAnsi="Times New Roman"/>
          <w:sz w:val="22"/>
          <w:szCs w:val="22"/>
          <w:lang w:val="en-GB"/>
        </w:rPr>
        <w:t>All supplies under this contract may 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10"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10"/>
    </w:p>
    <w:p w14:paraId="2FB7FBBC" w14:textId="16BFC382" w:rsidR="0047783A" w:rsidRPr="003D6B6C" w:rsidRDefault="00F355C1" w:rsidP="00B5440B">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F0A49">
        <w:rPr>
          <w:rFonts w:ascii="Times New Roman" w:hAnsi="Times New Roman"/>
          <w:sz w:val="22"/>
          <w:szCs w:val="22"/>
        </w:rPr>
        <w:t xml:space="preserve">The amount of the performance guarantee </w:t>
      </w:r>
      <w:r w:rsidR="005B0129" w:rsidRPr="003F0A49">
        <w:rPr>
          <w:rFonts w:ascii="Times New Roman" w:hAnsi="Times New Roman"/>
          <w:sz w:val="22"/>
          <w:szCs w:val="22"/>
        </w:rPr>
        <w:t xml:space="preserve">shall </w:t>
      </w:r>
      <w:r w:rsidR="0047783A" w:rsidRPr="003F0A49">
        <w:rPr>
          <w:rFonts w:ascii="Times New Roman" w:hAnsi="Times New Roman"/>
          <w:sz w:val="22"/>
          <w:szCs w:val="22"/>
        </w:rPr>
        <w:t>be</w:t>
      </w:r>
      <w:r w:rsidR="003F0A49">
        <w:rPr>
          <w:rFonts w:ascii="Times New Roman" w:hAnsi="Times New Roman"/>
          <w:sz w:val="22"/>
          <w:szCs w:val="22"/>
        </w:rPr>
        <w:t xml:space="preserve"> </w:t>
      </w:r>
      <w:r w:rsidR="0047783A" w:rsidRPr="003F0A49">
        <w:rPr>
          <w:rFonts w:ascii="Times New Roman" w:hAnsi="Times New Roman"/>
          <w:sz w:val="22"/>
          <w:szCs w:val="22"/>
        </w:rPr>
        <w:t>10</w:t>
      </w:r>
      <w:r w:rsidR="00D662AA" w:rsidRPr="003F0A49">
        <w:rPr>
          <w:rFonts w:ascii="Times New Roman" w:hAnsi="Times New Roman"/>
          <w:sz w:val="22"/>
          <w:szCs w:val="22"/>
        </w:rPr>
        <w:t xml:space="preserve">% </w:t>
      </w:r>
      <w:r w:rsidR="0047783A" w:rsidRPr="003F0A49">
        <w:rPr>
          <w:rFonts w:ascii="Times New Roman" w:hAnsi="Times New Roman"/>
          <w:sz w:val="22"/>
          <w:szCs w:val="22"/>
        </w:rPr>
        <w:t xml:space="preserve">of the </w:t>
      </w:r>
      <w:r w:rsidR="001E2362" w:rsidRPr="003F0A49">
        <w:rPr>
          <w:rFonts w:ascii="Times New Roman" w:hAnsi="Times New Roman"/>
          <w:sz w:val="22"/>
          <w:szCs w:val="22"/>
        </w:rPr>
        <w:t xml:space="preserve">total </w:t>
      </w:r>
      <w:r w:rsidR="00B2529B" w:rsidRPr="003F0A49">
        <w:rPr>
          <w:rFonts w:ascii="Times New Roman" w:hAnsi="Times New Roman"/>
          <w:sz w:val="22"/>
          <w:szCs w:val="22"/>
        </w:rPr>
        <w:t>c</w:t>
      </w:r>
      <w:r w:rsidR="0097513D" w:rsidRPr="003F0A49">
        <w:rPr>
          <w:rFonts w:ascii="Times New Roman" w:hAnsi="Times New Roman"/>
          <w:sz w:val="22"/>
          <w:szCs w:val="22"/>
        </w:rPr>
        <w:t>ontract</w:t>
      </w:r>
      <w:r w:rsidR="0047783A" w:rsidRPr="003F0A49">
        <w:rPr>
          <w:rFonts w:ascii="Times New Roman" w:hAnsi="Times New Roman"/>
          <w:sz w:val="22"/>
          <w:szCs w:val="22"/>
        </w:rPr>
        <w:t xml:space="preserve"> </w:t>
      </w:r>
      <w:r w:rsidR="001E2362" w:rsidRPr="003F0A49">
        <w:rPr>
          <w:rFonts w:ascii="Times New Roman" w:hAnsi="Times New Roman"/>
          <w:sz w:val="22"/>
          <w:szCs w:val="22"/>
        </w:rPr>
        <w:t>price</w:t>
      </w:r>
      <w:r w:rsidR="00637C8F" w:rsidRPr="003F0A49">
        <w:rPr>
          <w:rFonts w:ascii="Times New Roman" w:hAnsi="Times New Roman"/>
          <w:sz w:val="22"/>
          <w:szCs w:val="22"/>
        </w:rPr>
        <w:t>,</w:t>
      </w:r>
      <w:r w:rsidR="0047783A" w:rsidRPr="003F0A49">
        <w:rPr>
          <w:rFonts w:ascii="Times New Roman" w:hAnsi="Times New Roman"/>
          <w:sz w:val="22"/>
          <w:szCs w:val="22"/>
        </w:rPr>
        <w:t xml:space="preserve"> </w:t>
      </w:r>
      <w:r w:rsidR="00637C8F" w:rsidRPr="003F0A49">
        <w:rPr>
          <w:rFonts w:ascii="Times New Roman" w:hAnsi="Times New Roman"/>
          <w:sz w:val="22"/>
          <w:szCs w:val="22"/>
        </w:rPr>
        <w:t xml:space="preserve">including any amounts stipulated in addenda to the </w:t>
      </w:r>
      <w:r w:rsidR="00B2529B" w:rsidRPr="003F0A49">
        <w:rPr>
          <w:rFonts w:ascii="Times New Roman" w:hAnsi="Times New Roman"/>
          <w:sz w:val="22"/>
          <w:szCs w:val="22"/>
        </w:rPr>
        <w:t>c</w:t>
      </w:r>
      <w:r w:rsidR="00637C8F" w:rsidRPr="003F0A49">
        <w:rPr>
          <w:rFonts w:ascii="Times New Roman" w:hAnsi="Times New Roman"/>
          <w:sz w:val="22"/>
          <w:szCs w:val="22"/>
        </w:rPr>
        <w:t>ontract</w:t>
      </w:r>
      <w:r w:rsidR="0047783A" w:rsidRPr="003F0A49">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1"/>
    </w:p>
    <w:p w14:paraId="59F19A3F" w14:textId="21762C00" w:rsidR="004D33C9" w:rsidRPr="003D6B6C" w:rsidRDefault="004D33C9" w:rsidP="00A50901">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A50901" w:rsidRPr="00A50901">
        <w:rPr>
          <w:rFonts w:ascii="Times New Roman" w:hAnsi="Times New Roman"/>
          <w:sz w:val="22"/>
          <w:szCs w:val="22"/>
        </w:rPr>
        <w:t xml:space="preserve"> No liability / insurance measures are required.</w:t>
      </w:r>
    </w:p>
    <w:p w14:paraId="44B4B103" w14:textId="77777777" w:rsidR="00A50901" w:rsidRDefault="004D33C9" w:rsidP="00A50901">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bookmarkStart w:id="12" w:name="_Toc124934903"/>
      <w:r w:rsidR="00A50901" w:rsidRPr="00A50901">
        <w:rPr>
          <w:rFonts w:ascii="Times New Roman" w:hAnsi="Times New Roman"/>
          <w:sz w:val="22"/>
          <w:szCs w:val="22"/>
        </w:rPr>
        <w:t>No liability / insurance measures are required.</w:t>
      </w:r>
    </w:p>
    <w:p w14:paraId="175A66B9" w14:textId="77777777" w:rsidR="00A50901" w:rsidRDefault="00A50901" w:rsidP="00A50901">
      <w:pPr>
        <w:tabs>
          <w:tab w:val="left" w:pos="1134"/>
        </w:tabs>
        <w:spacing w:before="0"/>
        <w:jc w:val="both"/>
        <w:rPr>
          <w:rFonts w:ascii="Times New Roman" w:hAnsi="Times New Roman"/>
          <w:sz w:val="22"/>
          <w:szCs w:val="22"/>
        </w:rPr>
      </w:pPr>
    </w:p>
    <w:p w14:paraId="674BFA44" w14:textId="3E672DF2" w:rsidR="0047783A" w:rsidRPr="003D6B6C" w:rsidRDefault="0047783A" w:rsidP="00A50901">
      <w:pPr>
        <w:tabs>
          <w:tab w:val="left" w:pos="1134"/>
        </w:tabs>
        <w:spacing w:before="0"/>
        <w:jc w:val="both"/>
        <w:rPr>
          <w:rFonts w:ascii="Times New Roman" w:hAnsi="Times New Roman"/>
          <w:b/>
          <w:sz w:val="24"/>
          <w:szCs w:val="24"/>
        </w:rPr>
      </w:pPr>
      <w:r w:rsidRPr="003D6B6C">
        <w:rPr>
          <w:rFonts w:ascii="Times New Roman" w:hAnsi="Times New Roman"/>
          <w:b/>
          <w:sz w:val="24"/>
          <w:szCs w:val="24"/>
        </w:rPr>
        <w:t>Article 13</w:t>
      </w:r>
      <w:r w:rsidRPr="003D6B6C">
        <w:rPr>
          <w:rFonts w:ascii="Times New Roman" w:hAnsi="Times New Roman"/>
          <w:b/>
          <w:sz w:val="24"/>
          <w:szCs w:val="24"/>
        </w:rPr>
        <w:tab/>
      </w:r>
      <w:bookmarkEnd w:id="12"/>
      <w:r w:rsidR="0086688D" w:rsidRPr="003D6B6C">
        <w:rPr>
          <w:rFonts w:ascii="Times New Roman" w:hAnsi="Times New Roman"/>
          <w:b/>
          <w:sz w:val="24"/>
          <w:szCs w:val="24"/>
        </w:rPr>
        <w:t>Programme of implementation of tasks</w:t>
      </w:r>
    </w:p>
    <w:p w14:paraId="53C112B6" w14:textId="77777777" w:rsidR="00BC0916" w:rsidRDefault="00AC1107" w:rsidP="00BC0916">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sidR="00BC0916" w:rsidRPr="00BC0916">
        <w:rPr>
          <w:rFonts w:ascii="Times New Roman" w:hAnsi="Times New Roman"/>
          <w:sz w:val="22"/>
          <w:szCs w:val="22"/>
        </w:rPr>
        <w:t>The Contractor shall submit a Programme of Implementation of Tasks within 15 calendar days from the contract signature for the approval of the Contracting Authority.</w:t>
      </w:r>
    </w:p>
    <w:p w14:paraId="05EF44FB" w14:textId="77777777" w:rsidR="00BC0916" w:rsidRDefault="00BC0916" w:rsidP="00BC0916">
      <w:pPr>
        <w:ind w:left="1134"/>
        <w:jc w:val="both"/>
        <w:rPr>
          <w:rFonts w:ascii="Times New Roman" w:hAnsi="Times New Roman"/>
          <w:sz w:val="22"/>
          <w:szCs w:val="22"/>
        </w:rPr>
      </w:pPr>
      <w:r w:rsidRPr="00BC0916">
        <w:rPr>
          <w:rFonts w:ascii="Times New Roman" w:hAnsi="Times New Roman"/>
          <w:sz w:val="22"/>
          <w:szCs w:val="22"/>
        </w:rPr>
        <w:t>The programme should outline the planned timeline for the main stages of contract execution, including, where applicable, manufacture, delivery, installation, commissioning, and related activities.</w:t>
      </w:r>
    </w:p>
    <w:p w14:paraId="2023439D" w14:textId="77777777" w:rsidR="00BC0916" w:rsidRDefault="00BC0916" w:rsidP="00BC0916">
      <w:pPr>
        <w:ind w:left="1134"/>
        <w:jc w:val="both"/>
        <w:rPr>
          <w:rFonts w:ascii="Times New Roman" w:hAnsi="Times New Roman"/>
          <w:sz w:val="22"/>
          <w:szCs w:val="22"/>
        </w:rPr>
      </w:pPr>
      <w:r w:rsidRPr="00BC0916">
        <w:rPr>
          <w:rFonts w:ascii="Times New Roman" w:hAnsi="Times New Roman"/>
          <w:sz w:val="22"/>
          <w:szCs w:val="22"/>
        </w:rPr>
        <w:t xml:space="preserve">The timeline should </w:t>
      </w:r>
      <w:proofErr w:type="gramStart"/>
      <w:r w:rsidRPr="00BC0916">
        <w:rPr>
          <w:rFonts w:ascii="Times New Roman" w:hAnsi="Times New Roman"/>
          <w:sz w:val="22"/>
          <w:szCs w:val="22"/>
        </w:rPr>
        <w:t>take into account</w:t>
      </w:r>
      <w:proofErr w:type="gramEnd"/>
      <w:r w:rsidRPr="00BC0916">
        <w:rPr>
          <w:rFonts w:ascii="Times New Roman" w:hAnsi="Times New Roman"/>
          <w:sz w:val="22"/>
          <w:szCs w:val="22"/>
        </w:rPr>
        <w:t xml:space="preserve"> any periods needed for approvals or verifications by the Contracting Authority.</w:t>
      </w:r>
    </w:p>
    <w:p w14:paraId="68CCF8F0" w14:textId="32C73AB0" w:rsidR="0047783A" w:rsidRPr="00BC0916" w:rsidRDefault="00BC0916" w:rsidP="00BC0916">
      <w:pPr>
        <w:ind w:left="1134"/>
        <w:jc w:val="both"/>
        <w:rPr>
          <w:rFonts w:ascii="Times New Roman" w:hAnsi="Times New Roman"/>
          <w:sz w:val="22"/>
          <w:szCs w:val="22"/>
        </w:rPr>
      </w:pPr>
      <w:r w:rsidRPr="00BC0916">
        <w:rPr>
          <w:rFonts w:ascii="Times New Roman" w:hAnsi="Times New Roman"/>
          <w:sz w:val="22"/>
          <w:szCs w:val="22"/>
        </w:rPr>
        <w:t>The Contractor shall allow sufficient time within the programme for the Contracting Authority to carry out its obligations, including the issuing of the Provisional Acceptance Certificate in line with the contract conditions.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3"/>
    </w:p>
    <w:p w14:paraId="62741992" w14:textId="5040F2F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7D4A64" w:rsidRPr="001B0186">
        <w:rPr>
          <w:rFonts w:ascii="Times New Roman" w:hAnsi="Times New Roman"/>
          <w:sz w:val="22"/>
          <w:szCs w:val="22"/>
        </w:rPr>
        <w:t xml:space="preserve">All equipment must be supplied with the technical documentation requested in the Technical Specifications. This documentation must be supplied in </w:t>
      </w:r>
      <w:r w:rsidR="007D4A64">
        <w:rPr>
          <w:rFonts w:ascii="Times New Roman" w:hAnsi="Times New Roman"/>
          <w:sz w:val="22"/>
          <w:szCs w:val="22"/>
        </w:rPr>
        <w:t xml:space="preserve">minimum </w:t>
      </w:r>
      <w:r w:rsidR="007D4A64" w:rsidRPr="001B0186">
        <w:rPr>
          <w:rFonts w:ascii="Times New Roman" w:hAnsi="Times New Roman"/>
          <w:sz w:val="22"/>
          <w:szCs w:val="22"/>
        </w:rPr>
        <w:t>English</w:t>
      </w:r>
      <w:r w:rsidR="007D4A64">
        <w:rPr>
          <w:rFonts w:ascii="Times New Roman" w:hAnsi="Times New Roman"/>
          <w:sz w:val="22"/>
          <w:szCs w:val="22"/>
        </w:rPr>
        <w:t xml:space="preserve"> </w:t>
      </w:r>
      <w:r w:rsidR="0005000A">
        <w:rPr>
          <w:rFonts w:ascii="Times New Roman" w:hAnsi="Times New Roman"/>
          <w:sz w:val="22"/>
          <w:szCs w:val="22"/>
        </w:rPr>
        <w:t xml:space="preserve">/Serbian </w:t>
      </w:r>
      <w:r w:rsidR="007D4A64">
        <w:rPr>
          <w:rFonts w:ascii="Times New Roman" w:hAnsi="Times New Roman"/>
          <w:sz w:val="22"/>
          <w:szCs w:val="22"/>
        </w:rPr>
        <w:t>language.</w:t>
      </w:r>
    </w:p>
    <w:p w14:paraId="1B05DF2B" w14:textId="0014A6D7" w:rsidR="0047783A" w:rsidRDefault="0047783A" w:rsidP="00B34179">
      <w:pPr>
        <w:spacing w:before="240"/>
        <w:ind w:left="1134" w:hanging="1134"/>
        <w:jc w:val="both"/>
        <w:rPr>
          <w:rFonts w:ascii="Times New Roman" w:hAnsi="Times New Roman"/>
          <w:b/>
          <w:sz w:val="24"/>
          <w:szCs w:val="24"/>
        </w:rPr>
      </w:pPr>
      <w:bookmarkStart w:id="14"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4"/>
    </w:p>
    <w:p w14:paraId="53D3FA29" w14:textId="21A49189" w:rsidR="009F323B" w:rsidRPr="003D6B6C" w:rsidRDefault="009F323B" w:rsidP="00B5440B">
      <w:pPr>
        <w:jc w:val="both"/>
        <w:rPr>
          <w:rFonts w:ascii="Times New Roman" w:hAnsi="Times New Roman"/>
          <w:b/>
          <w:sz w:val="24"/>
          <w:szCs w:val="24"/>
        </w:rPr>
      </w:pPr>
      <w:r w:rsidRPr="009F323B">
        <w:rPr>
          <w:rFonts w:ascii="Times New Roman" w:hAnsi="Times New Roman"/>
          <w:sz w:val="22"/>
        </w:rPr>
        <w:t xml:space="preserve">The price of the supplies shall be that shown on the financial offer (specimen in Annex IV). </w:t>
      </w:r>
    </w:p>
    <w:p w14:paraId="4B4F2207" w14:textId="4F802E06"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EA6ACD">
        <w:rPr>
          <w:rFonts w:ascii="Times New Roman" w:hAnsi="Times New Roman"/>
          <w:sz w:val="22"/>
          <w:szCs w:val="22"/>
        </w:rPr>
        <w:t>N/A</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783044B" w:rsidR="00C52305" w:rsidRPr="003D6B6C" w:rsidRDefault="00C52305" w:rsidP="00C52305">
      <w:pPr>
        <w:ind w:left="1134" w:hanging="709"/>
        <w:jc w:val="both"/>
        <w:rPr>
          <w:rFonts w:ascii="Times New Roman" w:hAnsi="Times New Roman"/>
          <w:sz w:val="22"/>
          <w:szCs w:val="22"/>
        </w:rPr>
      </w:pPr>
      <w:r w:rsidRPr="00EA6ACD">
        <w:rPr>
          <w:rFonts w:ascii="Times New Roman" w:hAnsi="Times New Roman"/>
          <w:sz w:val="22"/>
          <w:szCs w:val="22"/>
        </w:rPr>
        <w:t>16.1</w:t>
      </w:r>
      <w:r w:rsidRPr="00EA6ACD">
        <w:rPr>
          <w:rFonts w:ascii="Times New Roman" w:hAnsi="Times New Roman"/>
          <w:sz w:val="22"/>
          <w:szCs w:val="22"/>
        </w:rPr>
        <w:tab/>
      </w:r>
      <w:r w:rsidR="00EA6ACD" w:rsidRPr="00EA6ACD">
        <w:rPr>
          <w:rFonts w:ascii="Times New Roman" w:hAnsi="Times New Roman"/>
          <w:sz w:val="22"/>
          <w:szCs w:val="22"/>
        </w:rPr>
        <w:t>N/A</w:t>
      </w:r>
      <w:r w:rsidR="00CD68C0" w:rsidRPr="00EA6ACD">
        <w:rPr>
          <w:rFonts w:ascii="Times New Roman" w:hAnsi="Times New Roman"/>
          <w:sz w:val="22"/>
          <w:szCs w:val="22"/>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5"/>
    </w:p>
    <w:p w14:paraId="43D1F54B" w14:textId="1CEE289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17.1</w:t>
      </w:r>
      <w:r w:rsidRPr="003D6B6C">
        <w:rPr>
          <w:rFonts w:ascii="Times New Roman" w:hAnsi="Times New Roman"/>
          <w:sz w:val="22"/>
          <w:szCs w:val="22"/>
        </w:rPr>
        <w:tab/>
      </w:r>
      <w:r w:rsidR="00EA6ACD">
        <w:rPr>
          <w:rFonts w:ascii="Times New Roman" w:hAnsi="Times New Roman"/>
          <w:sz w:val="22"/>
          <w:szCs w:val="22"/>
        </w:rPr>
        <w:t>N/A</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6"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6"/>
      <w:r w:rsidR="00EB32E9" w:rsidRPr="003D6B6C">
        <w:rPr>
          <w:rFonts w:ascii="Times New Roman" w:hAnsi="Times New Roman"/>
          <w:b/>
          <w:sz w:val="24"/>
          <w:szCs w:val="24"/>
        </w:rPr>
        <w:t xml:space="preserve"> </w:t>
      </w:r>
    </w:p>
    <w:p w14:paraId="45A4C7E3" w14:textId="7D460724" w:rsidR="00EB32E9" w:rsidRPr="00EA6ACD" w:rsidRDefault="0047783A" w:rsidP="00EA6ACD">
      <w:pPr>
        <w:ind w:left="1134" w:hanging="709"/>
        <w:jc w:val="both"/>
        <w:rPr>
          <w:rFonts w:ascii="Times New Roman" w:hAnsi="Times New Roman"/>
          <w:bCs/>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A6ACD" w:rsidRPr="0024533F">
        <w:rPr>
          <w:rFonts w:ascii="Times New Roman" w:hAnsi="Times New Roman"/>
          <w:sz w:val="22"/>
          <w:szCs w:val="22"/>
        </w:rPr>
        <w:t>The date on which implementation of the tasks shall begin is the date of the signature of the Contract by both parties.</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7"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7"/>
      <w:r w:rsidRPr="003D6B6C">
        <w:rPr>
          <w:rFonts w:ascii="Times New Roman" w:hAnsi="Times New Roman"/>
          <w:b/>
          <w:sz w:val="24"/>
          <w:szCs w:val="24"/>
        </w:rPr>
        <w:t xml:space="preserve"> of the tasks</w:t>
      </w:r>
    </w:p>
    <w:p w14:paraId="666A5D7B" w14:textId="7FF28BA3" w:rsidR="00283CF3" w:rsidRPr="00283CF3" w:rsidRDefault="0047783A" w:rsidP="00283CF3">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283CF3" w:rsidRPr="00283CF3">
        <w:rPr>
          <w:rFonts w:ascii="Times New Roman" w:hAnsi="Times New Roman"/>
          <w:sz w:val="22"/>
          <w:szCs w:val="22"/>
        </w:rPr>
        <w:t>The period of implementation of the tasks is 90 calendar days from the commencement date of the contract until the provisional acceptance.</w:t>
      </w:r>
    </w:p>
    <w:p w14:paraId="05A032BE" w14:textId="19913005" w:rsidR="00E55D87" w:rsidRPr="003D6B6C" w:rsidRDefault="00283CF3" w:rsidP="00283CF3">
      <w:pPr>
        <w:spacing w:before="0"/>
        <w:ind w:left="1134"/>
        <w:jc w:val="both"/>
        <w:rPr>
          <w:rFonts w:ascii="Times New Roman" w:hAnsi="Times New Roman"/>
          <w:b/>
          <w:sz w:val="22"/>
          <w:szCs w:val="22"/>
        </w:rPr>
      </w:pPr>
      <w:r w:rsidRPr="00283CF3">
        <w:rPr>
          <w:rFonts w:ascii="Times New Roman" w:hAnsi="Times New Roman"/>
          <w:sz w:val="22"/>
          <w:szCs w:val="22"/>
        </w:rPr>
        <w:t>The time limits for delivery and completion of the tasks are defined within this period. The detailed schedule shall be specified in the Programme of Implementation of Tasks, subject to approval by the Contracting Authority.</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8"/>
    </w:p>
    <w:p w14:paraId="0506BF5F" w14:textId="482A7C4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283CF3" w:rsidRPr="0024533F">
        <w:rPr>
          <w:rFonts w:ascii="Times New Roman" w:hAnsi="Times New Roman"/>
          <w:sz w:val="22"/>
          <w:szCs w:val="22"/>
        </w:rPr>
        <w:t>No preliminary technical acceptance is required</w:t>
      </w:r>
      <w:r w:rsidR="00283CF3">
        <w:rPr>
          <w:rFonts w:ascii="Times New Roman" w:hAnsi="Times New Roman"/>
          <w:sz w:val="22"/>
          <w:szCs w:val="22"/>
        </w:rPr>
        <w: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9"/>
    </w:p>
    <w:p w14:paraId="64178ACF" w14:textId="611017D9"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5CE0" w:rsidRPr="0024533F">
        <w:rPr>
          <w:rFonts w:ascii="Times New Roman" w:hAnsi="Times New Roman"/>
          <w:bCs/>
          <w:sz w:val="22"/>
          <w:szCs w:val="22"/>
        </w:rPr>
        <w:t>The Contractor shall deliver and commission all goods, in order that the supplies are left in place fully operational and ready for use.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20"/>
      <w:r w:rsidR="005B0129" w:rsidRPr="003D6B6C">
        <w:rPr>
          <w:rFonts w:ascii="Times New Roman" w:hAnsi="Times New Roman"/>
          <w:b/>
          <w:sz w:val="24"/>
          <w:szCs w:val="24"/>
        </w:rPr>
        <w:t>General principles for payments</w:t>
      </w:r>
    </w:p>
    <w:p w14:paraId="2876E833" w14:textId="0E6C3771" w:rsidR="007904D5" w:rsidRPr="007904D5" w:rsidRDefault="0047783A" w:rsidP="007904D5">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7904D5" w:rsidRPr="007904D5">
        <w:rPr>
          <w:rFonts w:ascii="Times New Roman" w:hAnsi="Times New Roman"/>
          <w:sz w:val="22"/>
          <w:szCs w:val="22"/>
        </w:rPr>
        <w:t xml:space="preserve">Payments shall be made in </w:t>
      </w:r>
      <w:r w:rsidR="007904D5">
        <w:rPr>
          <w:rFonts w:ascii="Times New Roman" w:hAnsi="Times New Roman"/>
          <w:sz w:val="22"/>
          <w:szCs w:val="22"/>
        </w:rPr>
        <w:t>EURO</w:t>
      </w:r>
      <w:r w:rsidR="007904D5" w:rsidRPr="007904D5">
        <w:rPr>
          <w:rFonts w:ascii="Times New Roman" w:hAnsi="Times New Roman"/>
          <w:sz w:val="22"/>
          <w:szCs w:val="22"/>
        </w:rPr>
        <w:t xml:space="preserve"> for the companies registered outside Serbia and RSD for companies registered in Serbia</w:t>
      </w:r>
    </w:p>
    <w:p w14:paraId="74B6BC79" w14:textId="02FF1A10" w:rsidR="007904D5" w:rsidRPr="007904D5" w:rsidRDefault="007904D5" w:rsidP="007904D5">
      <w:pPr>
        <w:tabs>
          <w:tab w:val="right" w:pos="9885"/>
        </w:tabs>
        <w:spacing w:before="0"/>
        <w:ind w:left="1134" w:hanging="709"/>
        <w:jc w:val="both"/>
        <w:rPr>
          <w:rFonts w:ascii="Times New Roman" w:hAnsi="Times New Roman"/>
          <w:sz w:val="22"/>
          <w:szCs w:val="22"/>
        </w:rPr>
      </w:pPr>
      <w:r w:rsidRPr="007904D5">
        <w:rPr>
          <w:rFonts w:ascii="Times New Roman" w:hAnsi="Times New Roman"/>
          <w:sz w:val="22"/>
          <w:szCs w:val="22"/>
        </w:rPr>
        <w:tab/>
        <w:t xml:space="preserve">In case the contract is concluded in EURO, and payments are made in </w:t>
      </w:r>
      <w:proofErr w:type="gramStart"/>
      <w:r w:rsidRPr="007904D5">
        <w:rPr>
          <w:rFonts w:ascii="Times New Roman" w:hAnsi="Times New Roman"/>
          <w:sz w:val="22"/>
          <w:szCs w:val="22"/>
        </w:rPr>
        <w:t>national  currencies</w:t>
      </w:r>
      <w:proofErr w:type="gramEnd"/>
      <w:r w:rsidRPr="007904D5">
        <w:rPr>
          <w:rFonts w:ascii="Times New Roman" w:hAnsi="Times New Roman"/>
          <w:sz w:val="22"/>
          <w:szCs w:val="22"/>
        </w:rPr>
        <w:t xml:space="preserve">, applicable exchange rate must be </w:t>
      </w:r>
      <w:proofErr w:type="spellStart"/>
      <w:r w:rsidRPr="007904D5">
        <w:rPr>
          <w:rFonts w:ascii="Times New Roman" w:hAnsi="Times New Roman"/>
          <w:sz w:val="22"/>
          <w:szCs w:val="22"/>
        </w:rPr>
        <w:t>InforEuro</w:t>
      </w:r>
      <w:proofErr w:type="spellEnd"/>
      <w:r w:rsidRPr="007904D5">
        <w:rPr>
          <w:rFonts w:ascii="Times New Roman" w:hAnsi="Times New Roman"/>
          <w:sz w:val="22"/>
          <w:szCs w:val="22"/>
        </w:rPr>
        <w:t xml:space="preserve"> exchange rate valid on the month of issuing of invoice</w:t>
      </w:r>
      <w:r>
        <w:rPr>
          <w:rFonts w:ascii="Times New Roman" w:hAnsi="Times New Roman"/>
          <w:sz w:val="22"/>
          <w:szCs w:val="22"/>
        </w:rPr>
        <w:t>.</w:t>
      </w:r>
    </w:p>
    <w:p w14:paraId="09CCCA2B" w14:textId="216966E5" w:rsidR="0047783A" w:rsidRPr="003D6B6C" w:rsidRDefault="007904D5" w:rsidP="007904D5">
      <w:pPr>
        <w:tabs>
          <w:tab w:val="right" w:pos="9885"/>
        </w:tabs>
        <w:spacing w:before="0"/>
        <w:ind w:left="1134" w:hanging="709"/>
        <w:jc w:val="both"/>
        <w:rPr>
          <w:rFonts w:ascii="Times New Roman" w:hAnsi="Times New Roman"/>
          <w:sz w:val="22"/>
          <w:szCs w:val="22"/>
        </w:rPr>
      </w:pPr>
      <w:r w:rsidRPr="007904D5">
        <w:rPr>
          <w:rFonts w:ascii="Times New Roman" w:hAnsi="Times New Roman"/>
          <w:sz w:val="22"/>
          <w:szCs w:val="22"/>
        </w:rPr>
        <w:tab/>
        <w:t>Payments shall be authorised and made by Legal Representative of Contracting Authority.</w:t>
      </w:r>
    </w:p>
    <w:p w14:paraId="62A04E0B" w14:textId="58C43E35" w:rsidR="006D5CEE" w:rsidRPr="003D6B6C" w:rsidRDefault="006D5CEE" w:rsidP="00655CE0">
      <w:pPr>
        <w:spacing w:before="0"/>
        <w:ind w:left="1134" w:hanging="709"/>
        <w:jc w:val="both"/>
        <w:rPr>
          <w:rFonts w:ascii="Times New Roman" w:hAnsi="Times New Roman"/>
          <w:sz w:val="22"/>
          <w:szCs w:val="22"/>
        </w:rPr>
      </w:pPr>
      <w:r w:rsidRPr="00655CE0">
        <w:rPr>
          <w:rFonts w:ascii="Times New Roman" w:hAnsi="Times New Roman"/>
          <w:sz w:val="22"/>
          <w:szCs w:val="22"/>
        </w:rPr>
        <w:t>26.3</w:t>
      </w:r>
      <w:r w:rsidRPr="00655CE0">
        <w:rPr>
          <w:rFonts w:ascii="Times New Roman" w:hAnsi="Times New Roman"/>
          <w:sz w:val="22"/>
          <w:szCs w:val="22"/>
        </w:rPr>
        <w:tab/>
        <w:t xml:space="preserve">By derogation, the final payment to the </w:t>
      </w:r>
      <w:r w:rsidR="00F60098" w:rsidRPr="00655CE0">
        <w:rPr>
          <w:rFonts w:ascii="Times New Roman" w:hAnsi="Times New Roman"/>
          <w:sz w:val="22"/>
          <w:szCs w:val="22"/>
        </w:rPr>
        <w:t>c</w:t>
      </w:r>
      <w:r w:rsidRPr="00655CE0">
        <w:rPr>
          <w:rFonts w:ascii="Times New Roman" w:hAnsi="Times New Roman"/>
          <w:sz w:val="22"/>
          <w:szCs w:val="22"/>
        </w:rPr>
        <w:t xml:space="preserve">ontractor of the amounts due shall be made within 90 days after receipt by the </w:t>
      </w:r>
      <w:r w:rsidR="00F60098" w:rsidRPr="00655CE0">
        <w:rPr>
          <w:rFonts w:ascii="Times New Roman" w:hAnsi="Times New Roman"/>
          <w:sz w:val="22"/>
          <w:szCs w:val="22"/>
        </w:rPr>
        <w:t>c</w:t>
      </w:r>
      <w:r w:rsidRPr="00655CE0">
        <w:rPr>
          <w:rFonts w:ascii="Times New Roman" w:hAnsi="Times New Roman"/>
          <w:sz w:val="22"/>
          <w:szCs w:val="22"/>
        </w:rPr>
        <w:t xml:space="preserve">ontracting </w:t>
      </w:r>
      <w:r w:rsidR="00F60098" w:rsidRPr="00655CE0">
        <w:rPr>
          <w:rFonts w:ascii="Times New Roman" w:hAnsi="Times New Roman"/>
          <w:sz w:val="22"/>
          <w:szCs w:val="22"/>
        </w:rPr>
        <w:t>a</w:t>
      </w:r>
      <w:r w:rsidRPr="00655CE0">
        <w:rPr>
          <w:rFonts w:ascii="Times New Roman" w:hAnsi="Times New Roman"/>
          <w:sz w:val="22"/>
          <w:szCs w:val="22"/>
        </w:rPr>
        <w:t>uthority of an invoice and of the application for the certificate of provisional acceptance.</w:t>
      </w:r>
    </w:p>
    <w:p w14:paraId="780AD638" w14:textId="37C5BD5F"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4B2D934E" w14:textId="08AB7B79" w:rsidR="00695007" w:rsidRPr="0005000A" w:rsidRDefault="00035D61" w:rsidP="0005000A">
      <w:pPr>
        <w:ind w:left="1560" w:hanging="426"/>
        <w:jc w:val="both"/>
        <w:rPr>
          <w:rFonts w:ascii="Times New Roman" w:hAnsi="Times New Roman"/>
          <w:sz w:val="22"/>
          <w:szCs w:val="22"/>
        </w:rPr>
      </w:pPr>
      <w:r w:rsidRPr="00527A16">
        <w:rPr>
          <w:rFonts w:ascii="Times New Roman" w:hAnsi="Times New Roman"/>
          <w:sz w:val="22"/>
          <w:szCs w:val="22"/>
        </w:rPr>
        <w:t>a)</w:t>
      </w:r>
      <w:r w:rsidRPr="00527A16">
        <w:rPr>
          <w:rFonts w:ascii="Times New Roman" w:hAnsi="Times New Roman"/>
          <w:b/>
          <w:sz w:val="22"/>
          <w:szCs w:val="22"/>
        </w:rPr>
        <w:tab/>
      </w:r>
      <w:r w:rsidR="006219A1" w:rsidRPr="00527A16">
        <w:rPr>
          <w:rFonts w:ascii="Times New Roman" w:hAnsi="Times New Roman"/>
          <w:bCs/>
          <w:sz w:val="22"/>
          <w:szCs w:val="22"/>
        </w:rPr>
        <w:t>For the 40% pre-financing</w:t>
      </w:r>
      <w:r w:rsidR="006219A1" w:rsidRPr="00527A16">
        <w:rPr>
          <w:rFonts w:ascii="Times New Roman" w:hAnsi="Times New Roman"/>
          <w:sz w:val="22"/>
          <w:szCs w:val="22"/>
        </w:rPr>
        <w:t xml:space="preserve">, </w:t>
      </w:r>
      <w:r w:rsidR="00720411" w:rsidRPr="00527A16">
        <w:rPr>
          <w:rFonts w:ascii="Times New Roman" w:hAnsi="Times New Roman"/>
          <w:sz w:val="22"/>
          <w:szCs w:val="22"/>
        </w:rPr>
        <w:t>the</w:t>
      </w:r>
      <w:r w:rsidR="004C6030" w:rsidRPr="00527A16">
        <w:rPr>
          <w:rFonts w:ascii="Times New Roman" w:hAnsi="Times New Roman"/>
          <w:sz w:val="22"/>
          <w:szCs w:val="22"/>
        </w:rPr>
        <w:t xml:space="preserve"> invoice</w:t>
      </w:r>
      <w:r w:rsidR="001C6A79" w:rsidRPr="00527A16">
        <w:rPr>
          <w:rStyle w:val="FootnoteReference"/>
          <w:rFonts w:ascii="Times New Roman" w:hAnsi="Times New Roman"/>
          <w:sz w:val="22"/>
          <w:szCs w:val="22"/>
        </w:rPr>
        <w:footnoteReference w:id="1"/>
      </w:r>
      <w:r w:rsidR="004C6030" w:rsidRPr="00527A16">
        <w:rPr>
          <w:rFonts w:ascii="Times New Roman" w:hAnsi="Times New Roman"/>
          <w:sz w:val="22"/>
          <w:szCs w:val="22"/>
        </w:rPr>
        <w:t xml:space="preserve"> </w:t>
      </w:r>
      <w:r w:rsidR="00720411" w:rsidRPr="00527A16">
        <w:rPr>
          <w:rFonts w:ascii="Times New Roman" w:hAnsi="Times New Roman"/>
          <w:sz w:val="22"/>
          <w:szCs w:val="22"/>
        </w:rPr>
        <w:t xml:space="preserve">and </w:t>
      </w:r>
      <w:r w:rsidR="006219A1" w:rsidRPr="00527A16">
        <w:rPr>
          <w:rFonts w:ascii="Times New Roman" w:hAnsi="Times New Roman"/>
          <w:bCs/>
          <w:sz w:val="22"/>
          <w:szCs w:val="22"/>
        </w:rPr>
        <w:t>the pre-financing guarantee</w:t>
      </w:r>
      <w:r w:rsidR="0005000A" w:rsidRPr="00527A16">
        <w:rPr>
          <w:rFonts w:ascii="Times New Roman" w:hAnsi="Times New Roman"/>
          <w:bCs/>
          <w:sz w:val="22"/>
          <w:szCs w:val="22"/>
        </w:rPr>
        <w:t>:</w:t>
      </w:r>
      <w:r w:rsidR="00E87734" w:rsidRPr="00527A16">
        <w:rPr>
          <w:rFonts w:ascii="Times New Roman" w:hAnsi="Times New Roman"/>
          <w:bCs/>
          <w:sz w:val="22"/>
          <w:szCs w:val="22"/>
        </w:rPr>
        <w:t xml:space="preserve"> </w:t>
      </w:r>
    </w:p>
    <w:p w14:paraId="1707D0AC" w14:textId="54FF64BF" w:rsidR="0047783A" w:rsidRPr="003D6B6C" w:rsidRDefault="0047783A" w:rsidP="00035D61">
      <w:pPr>
        <w:spacing w:after="0"/>
        <w:ind w:left="1559" w:hanging="425"/>
        <w:jc w:val="both"/>
        <w:rPr>
          <w:rFonts w:ascii="Times New Roman" w:hAnsi="Times New Roman"/>
          <w:sz w:val="22"/>
          <w:szCs w:val="22"/>
        </w:rPr>
      </w:pPr>
      <w:r w:rsidRPr="00527A16">
        <w:rPr>
          <w:rFonts w:ascii="Times New Roman" w:hAnsi="Times New Roman"/>
          <w:sz w:val="22"/>
          <w:szCs w:val="22"/>
        </w:rPr>
        <w:t>b)</w:t>
      </w:r>
      <w:r w:rsidRPr="00527A16">
        <w:rPr>
          <w:rFonts w:ascii="Times New Roman" w:hAnsi="Times New Roman"/>
          <w:b/>
          <w:sz w:val="22"/>
          <w:szCs w:val="22"/>
        </w:rPr>
        <w:tab/>
      </w:r>
      <w:r w:rsidRPr="00527A16">
        <w:rPr>
          <w:rFonts w:ascii="Times New Roman" w:hAnsi="Times New Roman"/>
          <w:bCs/>
          <w:sz w:val="22"/>
          <w:szCs w:val="22"/>
        </w:rPr>
        <w:t xml:space="preserve">For the </w:t>
      </w:r>
      <w:r w:rsidR="00441859" w:rsidRPr="00527A16">
        <w:rPr>
          <w:rFonts w:ascii="Times New Roman" w:hAnsi="Times New Roman"/>
          <w:bCs/>
          <w:sz w:val="22"/>
          <w:szCs w:val="22"/>
        </w:rPr>
        <w:t>6</w:t>
      </w:r>
      <w:r w:rsidRPr="00527A16">
        <w:rPr>
          <w:rFonts w:ascii="Times New Roman" w:hAnsi="Times New Roman"/>
          <w:bCs/>
          <w:sz w:val="22"/>
          <w:szCs w:val="22"/>
        </w:rPr>
        <w:t>0</w:t>
      </w:r>
      <w:r w:rsidR="006A5F84" w:rsidRPr="00527A16">
        <w:rPr>
          <w:rFonts w:ascii="Times New Roman" w:hAnsi="Times New Roman"/>
          <w:bCs/>
          <w:sz w:val="22"/>
          <w:szCs w:val="22"/>
        </w:rPr>
        <w:t> </w:t>
      </w:r>
      <w:r w:rsidRPr="00527A16">
        <w:rPr>
          <w:rFonts w:ascii="Times New Roman" w:hAnsi="Times New Roman"/>
          <w:bCs/>
          <w:sz w:val="22"/>
          <w:szCs w:val="22"/>
        </w:rPr>
        <w:t>% balance</w:t>
      </w:r>
      <w:r w:rsidR="00A31EF5" w:rsidRPr="00527A16">
        <w:rPr>
          <w:rFonts w:ascii="Times New Roman" w:hAnsi="Times New Roman"/>
          <w:bCs/>
          <w:sz w:val="22"/>
          <w:szCs w:val="22"/>
        </w:rPr>
        <w:t>,</w:t>
      </w:r>
      <w:r w:rsidRPr="00527A16">
        <w:rPr>
          <w:rFonts w:ascii="Times New Roman" w:hAnsi="Times New Roman"/>
          <w:sz w:val="22"/>
          <w:szCs w:val="22"/>
        </w:rPr>
        <w:t xml:space="preserve"> the invoice(s)</w:t>
      </w:r>
      <w:r w:rsidR="00527A16">
        <w:rPr>
          <w:rFonts w:ascii="Times New Roman" w:hAnsi="Times New Roman"/>
          <w:sz w:val="22"/>
          <w:szCs w:val="22"/>
        </w:rPr>
        <w:t xml:space="preserve"> in duplicate</w:t>
      </w:r>
      <w:r w:rsidRPr="00527A16">
        <w:rPr>
          <w:rFonts w:ascii="Times New Roman" w:hAnsi="Times New Roman"/>
          <w:sz w:val="22"/>
          <w:szCs w:val="22"/>
        </w:rPr>
        <w:t xml:space="preserve"> </w:t>
      </w:r>
      <w:r w:rsidR="00925DBE" w:rsidRPr="00527A16">
        <w:rPr>
          <w:rFonts w:ascii="Times New Roman" w:hAnsi="Times New Roman"/>
          <w:sz w:val="22"/>
          <w:szCs w:val="22"/>
        </w:rPr>
        <w:t xml:space="preserve">together with the request for </w:t>
      </w:r>
      <w:r w:rsidRPr="00527A16">
        <w:rPr>
          <w:rFonts w:ascii="Times New Roman" w:hAnsi="Times New Roman"/>
          <w:sz w:val="22"/>
          <w:szCs w:val="22"/>
        </w:rPr>
        <w:t>provisional acceptance of the supplies.</w:t>
      </w:r>
    </w:p>
    <w:p w14:paraId="21DD1760" w14:textId="391952CA" w:rsidR="0047783A" w:rsidRDefault="0047783A" w:rsidP="006B145B">
      <w:pPr>
        <w:tabs>
          <w:tab w:val="right" w:pos="9885"/>
        </w:tabs>
        <w:ind w:left="1134" w:hanging="709"/>
        <w:jc w:val="both"/>
        <w:rPr>
          <w:rFonts w:ascii="Times New Roman" w:hAnsi="Times New Roman"/>
          <w:color w:val="000000"/>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527A16">
        <w:rPr>
          <w:rFonts w:ascii="Times New Roman" w:hAnsi="Times New Roman"/>
          <w:snapToGrid/>
          <w:color w:val="000000"/>
          <w:sz w:val="22"/>
          <w:szCs w:val="22"/>
        </w:rPr>
        <w:t>The contract does not include price revision clause.</w:t>
      </w:r>
    </w:p>
    <w:p w14:paraId="60E2B580" w14:textId="204F200A" w:rsidR="006A601D" w:rsidRPr="003D6B6C" w:rsidRDefault="006A601D" w:rsidP="006B145B">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lastRenderedPageBreak/>
        <w:t>26.10</w:t>
      </w:r>
      <w:r>
        <w:rPr>
          <w:rFonts w:ascii="Times New Roman" w:hAnsi="Times New Roman"/>
          <w:color w:val="000000"/>
          <w:sz w:val="22"/>
          <w:szCs w:val="22"/>
        </w:rPr>
        <w:tab/>
      </w:r>
      <w:r w:rsidR="000A477D">
        <w:rPr>
          <w:rFonts w:ascii="Times New Roman" w:hAnsi="Times New Roman"/>
          <w:color w:val="000000"/>
          <w:sz w:val="22"/>
          <w:szCs w:val="22"/>
        </w:rPr>
        <w:t>N/A</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63FD9D14" w:rsidR="0047783A" w:rsidRPr="003D6B6C" w:rsidRDefault="0047783A" w:rsidP="00846A57">
      <w:pPr>
        <w:autoSpaceDE w:val="0"/>
        <w:autoSpaceDN w:val="0"/>
        <w:adjustRightInd w:val="0"/>
        <w:ind w:left="1134" w:hanging="709"/>
        <w:jc w:val="both"/>
        <w:rPr>
          <w:rFonts w:ascii="Times New Roman" w:hAnsi="Times New Roman"/>
          <w:snapToGrid/>
          <w:sz w:val="22"/>
          <w:szCs w:val="22"/>
          <w:lang w:eastAsia="en-GB"/>
        </w:rPr>
      </w:pPr>
      <w:r w:rsidRPr="00846A57">
        <w:rPr>
          <w:rFonts w:ascii="Times New Roman" w:hAnsi="Times New Roman"/>
          <w:sz w:val="22"/>
          <w:szCs w:val="22"/>
        </w:rPr>
        <w:t>28.</w:t>
      </w:r>
      <w:r w:rsidR="00866B17" w:rsidRPr="00846A57">
        <w:rPr>
          <w:rFonts w:ascii="Times New Roman" w:hAnsi="Times New Roman"/>
          <w:sz w:val="22"/>
          <w:szCs w:val="22"/>
        </w:rPr>
        <w:t>2</w:t>
      </w:r>
      <w:r w:rsidRPr="00846A57">
        <w:rPr>
          <w:rFonts w:ascii="Times New Roman" w:hAnsi="Times New Roman"/>
          <w:b/>
          <w:sz w:val="22"/>
          <w:szCs w:val="22"/>
        </w:rPr>
        <w:tab/>
      </w:r>
      <w:r w:rsidRPr="00846A57">
        <w:rPr>
          <w:rFonts w:ascii="Times New Roman" w:hAnsi="Times New Roman"/>
          <w:snapToGrid/>
          <w:sz w:val="22"/>
          <w:szCs w:val="22"/>
          <w:lang w:eastAsia="en-GB"/>
        </w:rPr>
        <w:t xml:space="preserve">By derogation from Article 28.2 of the </w:t>
      </w:r>
      <w:r w:rsidR="00F60098" w:rsidRPr="00846A57">
        <w:rPr>
          <w:rFonts w:ascii="Times New Roman" w:hAnsi="Times New Roman"/>
          <w:snapToGrid/>
          <w:sz w:val="22"/>
          <w:szCs w:val="22"/>
          <w:lang w:eastAsia="en-GB"/>
        </w:rPr>
        <w:t>g</w:t>
      </w:r>
      <w:r w:rsidRPr="00846A57">
        <w:rPr>
          <w:rFonts w:ascii="Times New Roman" w:hAnsi="Times New Roman"/>
          <w:snapToGrid/>
          <w:sz w:val="22"/>
          <w:szCs w:val="22"/>
          <w:lang w:eastAsia="en-GB"/>
        </w:rPr>
        <w:t xml:space="preserve">eneral </w:t>
      </w:r>
      <w:r w:rsidR="00F60098" w:rsidRPr="00846A57">
        <w:rPr>
          <w:rFonts w:ascii="Times New Roman" w:hAnsi="Times New Roman"/>
          <w:snapToGrid/>
          <w:sz w:val="22"/>
          <w:szCs w:val="22"/>
          <w:lang w:eastAsia="en-GB"/>
        </w:rPr>
        <w:t>c</w:t>
      </w:r>
      <w:r w:rsidRPr="00846A57">
        <w:rPr>
          <w:rFonts w:ascii="Times New Roman" w:hAnsi="Times New Roman"/>
          <w:snapToGrid/>
          <w:sz w:val="22"/>
          <w:szCs w:val="22"/>
          <w:lang w:eastAsia="en-GB"/>
        </w:rPr>
        <w:t>onditions, o</w:t>
      </w:r>
      <w:r w:rsidRPr="00846A57">
        <w:rPr>
          <w:rFonts w:ascii="Times New Roman" w:hAnsi="Times New Roman"/>
          <w:sz w:val="22"/>
          <w:szCs w:val="22"/>
        </w:rPr>
        <w:t>nce the deadline laid down in Article 2</w:t>
      </w:r>
      <w:r w:rsidR="00D83918" w:rsidRPr="00846A57">
        <w:rPr>
          <w:rFonts w:ascii="Times New Roman" w:hAnsi="Times New Roman"/>
          <w:sz w:val="22"/>
          <w:szCs w:val="22"/>
        </w:rPr>
        <w:t>6.3</w:t>
      </w:r>
      <w:r w:rsidRPr="00846A57">
        <w:rPr>
          <w:rFonts w:ascii="Times New Roman" w:hAnsi="Times New Roman"/>
          <w:sz w:val="22"/>
          <w:szCs w:val="22"/>
        </w:rPr>
        <w:t xml:space="preserve"> has expired, the </w:t>
      </w:r>
      <w:r w:rsidR="00F60098" w:rsidRPr="00846A57">
        <w:rPr>
          <w:rFonts w:ascii="Times New Roman" w:hAnsi="Times New Roman"/>
          <w:sz w:val="22"/>
          <w:szCs w:val="22"/>
        </w:rPr>
        <w:t>c</w:t>
      </w:r>
      <w:r w:rsidRPr="00846A57">
        <w:rPr>
          <w:rFonts w:ascii="Times New Roman" w:hAnsi="Times New Roman"/>
          <w:sz w:val="22"/>
          <w:szCs w:val="22"/>
        </w:rPr>
        <w:t xml:space="preserve">ontractor </w:t>
      </w:r>
      <w:r w:rsidR="00551543" w:rsidRPr="00846A57">
        <w:rPr>
          <w:rFonts w:ascii="Times New Roman" w:hAnsi="Times New Roman"/>
          <w:sz w:val="22"/>
          <w:szCs w:val="22"/>
        </w:rPr>
        <w:t>sha</w:t>
      </w:r>
      <w:r w:rsidR="006D3BA1" w:rsidRPr="00846A57">
        <w:rPr>
          <w:rFonts w:ascii="Times New Roman" w:hAnsi="Times New Roman"/>
          <w:sz w:val="22"/>
          <w:szCs w:val="22"/>
        </w:rPr>
        <w:t>ll,</w:t>
      </w:r>
      <w:r w:rsidRPr="00846A57">
        <w:rPr>
          <w:rFonts w:ascii="Times New Roman" w:hAnsi="Times New Roman"/>
          <w:sz w:val="22"/>
          <w:szCs w:val="22"/>
        </w:rPr>
        <w:t xml:space="preserve"> upon demand, </w:t>
      </w:r>
      <w:r w:rsidR="006D3BA1" w:rsidRPr="00846A57">
        <w:rPr>
          <w:rFonts w:ascii="Times New Roman" w:hAnsi="Times New Roman"/>
          <w:sz w:val="22"/>
          <w:szCs w:val="22"/>
        </w:rPr>
        <w:t xml:space="preserve">be entitled to late-payment interest </w:t>
      </w:r>
      <w:r w:rsidR="00117ADA" w:rsidRPr="00846A57">
        <w:rPr>
          <w:rFonts w:ascii="Times New Roman" w:hAnsi="Times New Roman"/>
          <w:sz w:val="22"/>
          <w:szCs w:val="22"/>
        </w:rPr>
        <w:t xml:space="preserve">at the rate and for the period mentioned in the </w:t>
      </w:r>
      <w:r w:rsidR="00F60098" w:rsidRPr="00846A57">
        <w:rPr>
          <w:rFonts w:ascii="Times New Roman" w:hAnsi="Times New Roman"/>
          <w:sz w:val="22"/>
          <w:szCs w:val="22"/>
        </w:rPr>
        <w:t>g</w:t>
      </w:r>
      <w:r w:rsidR="00117ADA" w:rsidRPr="00846A57">
        <w:rPr>
          <w:rFonts w:ascii="Times New Roman" w:hAnsi="Times New Roman"/>
          <w:sz w:val="22"/>
          <w:szCs w:val="22"/>
        </w:rPr>
        <w:t xml:space="preserve">eneral </w:t>
      </w:r>
      <w:r w:rsidR="00F60098" w:rsidRPr="00846A57">
        <w:rPr>
          <w:rFonts w:ascii="Times New Roman" w:hAnsi="Times New Roman"/>
          <w:sz w:val="22"/>
          <w:szCs w:val="22"/>
        </w:rPr>
        <w:t>c</w:t>
      </w:r>
      <w:r w:rsidR="00117ADA" w:rsidRPr="00846A57">
        <w:rPr>
          <w:rFonts w:ascii="Times New Roman" w:hAnsi="Times New Roman"/>
          <w:sz w:val="22"/>
          <w:szCs w:val="22"/>
        </w:rPr>
        <w:t>onditions</w:t>
      </w:r>
      <w:r w:rsidR="006D3BA1" w:rsidRPr="00846A57">
        <w:rPr>
          <w:rFonts w:ascii="Times New Roman" w:hAnsi="Times New Roman"/>
          <w:sz w:val="22"/>
          <w:szCs w:val="22"/>
        </w:rPr>
        <w:t xml:space="preserve">. The demand must be </w:t>
      </w:r>
      <w:r w:rsidRPr="00846A57">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2"/>
    </w:p>
    <w:p w14:paraId="2C5926D3" w14:textId="07D37E28"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t xml:space="preserve">29.1 </w:t>
      </w:r>
      <w:r>
        <w:rPr>
          <w:rFonts w:ascii="Times New Roman" w:hAnsi="Times New Roman"/>
          <w:sz w:val="22"/>
          <w:szCs w:val="22"/>
        </w:rPr>
        <w:t>T</w:t>
      </w:r>
      <w:r w:rsidRPr="00BD1517">
        <w:rPr>
          <w:rFonts w:ascii="Times New Roman" w:hAnsi="Times New Roman"/>
          <w:sz w:val="22"/>
          <w:szCs w:val="22"/>
        </w:rPr>
        <w:t xml:space="preserve">he </w:t>
      </w:r>
      <w:r w:rsidRPr="00846A57">
        <w:rPr>
          <w:rFonts w:ascii="Times New Roman" w:hAnsi="Times New Roman"/>
          <w:sz w:val="22"/>
          <w:szCs w:val="22"/>
        </w:rPr>
        <w:t>Incoterm applicable shall be DDP</w:t>
      </w:r>
      <w:r w:rsidRPr="00846A57">
        <w:rPr>
          <w:rFonts w:ascii="Times New Roman" w:hAnsi="Times New Roman"/>
          <w:sz w:val="22"/>
          <w:vertAlign w:val="superscript"/>
        </w:rPr>
        <w:footnoteReference w:id="2"/>
      </w:r>
    </w:p>
    <w:p w14:paraId="4517A6CF" w14:textId="011D4403" w:rsidR="0047783A" w:rsidRPr="00846A57" w:rsidRDefault="0047783A" w:rsidP="00846A57">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6A57">
        <w:rPr>
          <w:rFonts w:ascii="Times New Roman" w:hAnsi="Times New Roman"/>
          <w:sz w:val="22"/>
          <w:szCs w:val="22"/>
        </w:rPr>
        <w:t xml:space="preserve">The packaging </w:t>
      </w:r>
      <w:r w:rsidR="00551543" w:rsidRPr="00846A57">
        <w:rPr>
          <w:rFonts w:ascii="Times New Roman" w:hAnsi="Times New Roman"/>
          <w:sz w:val="22"/>
          <w:szCs w:val="22"/>
        </w:rPr>
        <w:t>sha</w:t>
      </w:r>
      <w:r w:rsidR="008C4E79" w:rsidRPr="00846A57">
        <w:rPr>
          <w:rFonts w:ascii="Times New Roman" w:hAnsi="Times New Roman"/>
          <w:sz w:val="22"/>
          <w:szCs w:val="22"/>
        </w:rPr>
        <w:t>ll</w:t>
      </w:r>
      <w:r w:rsidRPr="00846A57">
        <w:rPr>
          <w:rFonts w:ascii="Times New Roman" w:hAnsi="Times New Roman"/>
          <w:sz w:val="22"/>
          <w:szCs w:val="22"/>
        </w:rPr>
        <w:t xml:space="preserve"> become the property of the recipient subject to environment</w:t>
      </w:r>
      <w:r w:rsidR="006D3BA1" w:rsidRPr="00846A57">
        <w:rPr>
          <w:rFonts w:ascii="Times New Roman" w:hAnsi="Times New Roman"/>
          <w:sz w:val="22"/>
          <w:szCs w:val="22"/>
        </w:rPr>
        <w:t>al considerations</w:t>
      </w:r>
      <w:r w:rsidRPr="00846A57">
        <w:rPr>
          <w:rFonts w:ascii="Times New Roman" w:hAnsi="Times New Roman"/>
          <w:sz w:val="22"/>
          <w:szCs w:val="22"/>
        </w:rPr>
        <w:t>.</w:t>
      </w:r>
    </w:p>
    <w:p w14:paraId="64F05594" w14:textId="0088D76B" w:rsidR="00BD1517" w:rsidRPr="003D6B6C" w:rsidRDefault="00BD1517" w:rsidP="00B5440B">
      <w:pPr>
        <w:ind w:left="1134" w:hanging="708"/>
        <w:jc w:val="both"/>
        <w:rPr>
          <w:rFonts w:ascii="Times New Roman" w:hAnsi="Times New Roman"/>
          <w:b/>
          <w:sz w:val="22"/>
          <w:szCs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proofErr w:type="gramStart"/>
      <w:r w:rsidR="00181191" w:rsidRPr="0043240C">
        <w:rPr>
          <w:rFonts w:ascii="Times New Roman" w:hAnsi="Times New Roman"/>
          <w:sz w:val="22"/>
        </w:rPr>
        <w:t>The</w:t>
      </w:r>
      <w:proofErr w:type="gramEnd"/>
      <w:r w:rsidR="00181191" w:rsidRPr="0043240C">
        <w:rPr>
          <w:rFonts w:ascii="Times New Roman" w:hAnsi="Times New Roman"/>
          <w:sz w:val="22"/>
        </w:rPr>
        <w:t xml:space="preserve"> place of acceptance of the supplies shall be </w:t>
      </w:r>
      <w:r w:rsidR="00181191">
        <w:rPr>
          <w:rFonts w:ascii="Times New Roman" w:hAnsi="Times New Roman"/>
          <w:sz w:val="22"/>
        </w:rPr>
        <w:t xml:space="preserve">as stated in Article </w:t>
      </w:r>
      <w:r w:rsidR="00181191" w:rsidRPr="004C18A8">
        <w:rPr>
          <w:rFonts w:ascii="Times New Roman" w:hAnsi="Times New Roman"/>
          <w:sz w:val="22"/>
        </w:rPr>
        <w:t>1.1</w:t>
      </w:r>
      <w:r w:rsidR="00181191">
        <w:rPr>
          <w:rFonts w:ascii="Times New Roman" w:hAnsi="Times New Roman"/>
          <w:sz w:val="22"/>
        </w:rPr>
        <w:t>/ d</w:t>
      </w:r>
      <w:r w:rsidR="00181191" w:rsidRPr="007C07AE">
        <w:rPr>
          <w:rFonts w:ascii="Times New Roman" w:hAnsi="Times New Roman"/>
          <w:bCs/>
          <w:sz w:val="22"/>
        </w:rPr>
        <w:t>elivery place</w:t>
      </w:r>
      <w:r w:rsidR="00181191">
        <w:rPr>
          <w:rFonts w:ascii="Times New Roman" w:hAnsi="Times New Roman"/>
          <w:b/>
          <w:sz w:val="22"/>
        </w:rPr>
        <w:t xml:space="preserve"> </w:t>
      </w:r>
      <w:r w:rsidR="00181191">
        <w:rPr>
          <w:rFonts w:ascii="Times New Roman" w:hAnsi="Times New Roman"/>
          <w:sz w:val="22"/>
        </w:rPr>
        <w:t>in the document “c</w:t>
      </w:r>
      <w:r w:rsidR="00181191" w:rsidRPr="004C18A8">
        <w:rPr>
          <w:rFonts w:ascii="Times New Roman" w:hAnsi="Times New Roman"/>
          <w:sz w:val="22"/>
        </w:rPr>
        <w:t>4b_itt_en</w:t>
      </w:r>
      <w:r w:rsidR="00181191">
        <w:rPr>
          <w:rFonts w:ascii="Times New Roman" w:hAnsi="Times New Roman"/>
          <w:sz w:val="22"/>
        </w:rPr>
        <w:t>.docx”</w:t>
      </w:r>
      <w:r>
        <w:rPr>
          <w:rFonts w:ascii="Times New Roman" w:hAnsi="Times New Roman"/>
          <w:sz w:val="22"/>
        </w:rPr>
        <w:t>.</w:t>
      </w:r>
    </w:p>
    <w:p w14:paraId="0A911D52" w14:textId="4EBE4ED9"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181191">
        <w:rPr>
          <w:rFonts w:ascii="Times New Roman" w:hAnsi="Times New Roman"/>
          <w:sz w:val="22"/>
          <w:szCs w:val="22"/>
        </w:rPr>
        <w:t>N/A</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3"/>
    </w:p>
    <w:p w14:paraId="26936EB2" w14:textId="7AFECDE9" w:rsidR="00724C93" w:rsidRPr="00846A57" w:rsidRDefault="0047783A" w:rsidP="00846A57">
      <w:pPr>
        <w:jc w:val="both"/>
        <w:rPr>
          <w:rFonts w:ascii="Times New Roman" w:hAnsi="Times New Roman"/>
          <w:sz w:val="22"/>
          <w:szCs w:val="22"/>
        </w:rPr>
      </w:pPr>
      <w:r w:rsidRPr="00846A57">
        <w:rPr>
          <w:rFonts w:ascii="Times New Roman" w:hAnsi="Times New Roman"/>
          <w:sz w:val="22"/>
          <w:szCs w:val="22"/>
        </w:rPr>
        <w:t xml:space="preserve">The </w:t>
      </w:r>
      <w:r w:rsidR="00F60098" w:rsidRPr="00846A57">
        <w:rPr>
          <w:rFonts w:ascii="Times New Roman" w:hAnsi="Times New Roman"/>
          <w:sz w:val="22"/>
          <w:szCs w:val="22"/>
        </w:rPr>
        <w:t>c</w:t>
      </w:r>
      <w:r w:rsidRPr="00846A57">
        <w:rPr>
          <w:rFonts w:ascii="Times New Roman" w:hAnsi="Times New Roman"/>
          <w:sz w:val="22"/>
          <w:szCs w:val="22"/>
        </w:rPr>
        <w:t xml:space="preserve">ertificate of </w:t>
      </w:r>
      <w:r w:rsidR="00F60098" w:rsidRPr="00846A57">
        <w:rPr>
          <w:rFonts w:ascii="Times New Roman" w:hAnsi="Times New Roman"/>
          <w:sz w:val="22"/>
          <w:szCs w:val="22"/>
        </w:rPr>
        <w:t>p</w:t>
      </w:r>
      <w:r w:rsidRPr="00846A57">
        <w:rPr>
          <w:rFonts w:ascii="Times New Roman" w:hAnsi="Times New Roman"/>
          <w:sz w:val="22"/>
          <w:szCs w:val="22"/>
        </w:rPr>
        <w:t xml:space="preserve">rovisional </w:t>
      </w:r>
      <w:r w:rsidR="00F60098" w:rsidRPr="00846A57">
        <w:rPr>
          <w:rFonts w:ascii="Times New Roman" w:hAnsi="Times New Roman"/>
          <w:sz w:val="22"/>
          <w:szCs w:val="22"/>
        </w:rPr>
        <w:t>a</w:t>
      </w:r>
      <w:r w:rsidRPr="00846A57">
        <w:rPr>
          <w:rFonts w:ascii="Times New Roman" w:hAnsi="Times New Roman"/>
          <w:sz w:val="22"/>
          <w:szCs w:val="22"/>
        </w:rPr>
        <w:t>cceptance must be issued using the template in Annex</w:t>
      </w:r>
      <w:r w:rsidR="001B55AC" w:rsidRPr="00846A57">
        <w:rPr>
          <w:rFonts w:ascii="Times New Roman" w:hAnsi="Times New Roman"/>
          <w:sz w:val="22"/>
          <w:szCs w:val="22"/>
        </w:rPr>
        <w:t> </w:t>
      </w:r>
      <w:r w:rsidRPr="00846A57">
        <w:rPr>
          <w:rFonts w:ascii="Times New Roman" w:hAnsi="Times New Roman"/>
          <w:sz w:val="22"/>
          <w:szCs w:val="22"/>
        </w:rPr>
        <w:t>C11.</w:t>
      </w:r>
    </w:p>
    <w:p w14:paraId="010A73E4" w14:textId="77777777" w:rsidR="00E219CD" w:rsidRPr="00846A57" w:rsidRDefault="0011156A" w:rsidP="00E219CD">
      <w:pPr>
        <w:ind w:left="1134" w:hanging="708"/>
        <w:jc w:val="both"/>
        <w:rPr>
          <w:rFonts w:ascii="Times New Roman" w:hAnsi="Times New Roman"/>
          <w:sz w:val="22"/>
          <w:szCs w:val="22"/>
        </w:rPr>
      </w:pPr>
      <w:r w:rsidRPr="00846A57">
        <w:rPr>
          <w:rFonts w:ascii="Times New Roman" w:hAnsi="Times New Roman"/>
          <w:sz w:val="22"/>
          <w:szCs w:val="22"/>
        </w:rPr>
        <w:t>31.2.</w:t>
      </w:r>
      <w:r w:rsidRPr="00846A57">
        <w:rPr>
          <w:rFonts w:ascii="Times New Roman" w:hAnsi="Times New Roman"/>
          <w:sz w:val="22"/>
          <w:szCs w:val="22"/>
        </w:rPr>
        <w:tab/>
      </w:r>
      <w:r w:rsidR="00724C93" w:rsidRPr="00846A57">
        <w:rPr>
          <w:rFonts w:ascii="Times New Roman" w:hAnsi="Times New Roman"/>
          <w:sz w:val="22"/>
          <w:szCs w:val="22"/>
        </w:rPr>
        <w:t xml:space="preserve">By derogation, the </w:t>
      </w:r>
      <w:r w:rsidR="00F60098" w:rsidRPr="00846A57">
        <w:rPr>
          <w:rFonts w:ascii="Times New Roman" w:hAnsi="Times New Roman"/>
          <w:sz w:val="22"/>
          <w:szCs w:val="22"/>
        </w:rPr>
        <w:t>c</w:t>
      </w:r>
      <w:r w:rsidR="00E219CD" w:rsidRPr="00846A57">
        <w:rPr>
          <w:rFonts w:ascii="Times New Roman" w:hAnsi="Times New Roman"/>
          <w:sz w:val="22"/>
          <w:szCs w:val="22"/>
        </w:rPr>
        <w:t xml:space="preserve">ontractor may apply, by notice to the </w:t>
      </w:r>
      <w:r w:rsidR="00F60098" w:rsidRPr="00846A57">
        <w:rPr>
          <w:rFonts w:ascii="Times New Roman" w:hAnsi="Times New Roman"/>
          <w:sz w:val="22"/>
          <w:szCs w:val="22"/>
        </w:rPr>
        <w:t>p</w:t>
      </w:r>
      <w:r w:rsidR="00E219CD" w:rsidRPr="00846A57">
        <w:rPr>
          <w:rFonts w:ascii="Times New Roman" w:hAnsi="Times New Roman"/>
          <w:sz w:val="22"/>
          <w:szCs w:val="22"/>
        </w:rPr>
        <w:t xml:space="preserve">roject </w:t>
      </w:r>
      <w:r w:rsidR="00F60098" w:rsidRPr="00846A57">
        <w:rPr>
          <w:rFonts w:ascii="Times New Roman" w:hAnsi="Times New Roman"/>
          <w:sz w:val="22"/>
          <w:szCs w:val="22"/>
        </w:rPr>
        <w:t>m</w:t>
      </w:r>
      <w:r w:rsidR="00E219CD" w:rsidRPr="00846A57">
        <w:rPr>
          <w:rFonts w:ascii="Times New Roman" w:hAnsi="Times New Roman"/>
          <w:sz w:val="22"/>
          <w:szCs w:val="22"/>
        </w:rPr>
        <w:t xml:space="preserve">anager, for a certificate of provisional acceptance when supplies are ready for provisional acceptance. The </w:t>
      </w:r>
      <w:r w:rsidR="00F60098" w:rsidRPr="00846A57">
        <w:rPr>
          <w:rFonts w:ascii="Times New Roman" w:hAnsi="Times New Roman"/>
          <w:sz w:val="22"/>
          <w:szCs w:val="22"/>
        </w:rPr>
        <w:t>p</w:t>
      </w:r>
      <w:r w:rsidR="00E219CD" w:rsidRPr="00846A57">
        <w:rPr>
          <w:rFonts w:ascii="Times New Roman" w:hAnsi="Times New Roman"/>
          <w:sz w:val="22"/>
          <w:szCs w:val="22"/>
        </w:rPr>
        <w:t xml:space="preserve">roject </w:t>
      </w:r>
      <w:r w:rsidR="00F60098" w:rsidRPr="00846A57">
        <w:rPr>
          <w:rFonts w:ascii="Times New Roman" w:hAnsi="Times New Roman"/>
          <w:sz w:val="22"/>
          <w:szCs w:val="22"/>
        </w:rPr>
        <w:t>m</w:t>
      </w:r>
      <w:r w:rsidR="00E219CD" w:rsidRPr="00846A57">
        <w:rPr>
          <w:rFonts w:ascii="Times New Roman" w:hAnsi="Times New Roman"/>
          <w:sz w:val="22"/>
          <w:szCs w:val="22"/>
        </w:rPr>
        <w:t xml:space="preserve">anager shall within 45 days of receipt of the </w:t>
      </w:r>
      <w:r w:rsidR="00F60098" w:rsidRPr="00846A57">
        <w:rPr>
          <w:rFonts w:ascii="Times New Roman" w:hAnsi="Times New Roman"/>
          <w:sz w:val="22"/>
          <w:szCs w:val="22"/>
        </w:rPr>
        <w:t>c</w:t>
      </w:r>
      <w:r w:rsidR="00E219CD" w:rsidRPr="00846A57">
        <w:rPr>
          <w:rFonts w:ascii="Times New Roman" w:hAnsi="Times New Roman"/>
          <w:sz w:val="22"/>
          <w:szCs w:val="22"/>
        </w:rPr>
        <w:t>ontractor's application either:</w:t>
      </w:r>
    </w:p>
    <w:p w14:paraId="090CA169" w14:textId="77777777" w:rsidR="00E219CD" w:rsidRPr="00846A57"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846A57">
        <w:rPr>
          <w:rFonts w:ascii="Times New Roman" w:hAnsi="Times New Roman"/>
          <w:sz w:val="22"/>
          <w:szCs w:val="22"/>
        </w:rPr>
        <w:t xml:space="preserve">issue the certificate of provisional acceptance to the </w:t>
      </w:r>
      <w:r w:rsidR="00F60098" w:rsidRPr="00846A57">
        <w:rPr>
          <w:rFonts w:ascii="Times New Roman" w:hAnsi="Times New Roman"/>
          <w:sz w:val="22"/>
          <w:szCs w:val="22"/>
        </w:rPr>
        <w:t>c</w:t>
      </w:r>
      <w:r w:rsidRPr="00846A57">
        <w:rPr>
          <w:rFonts w:ascii="Times New Roman" w:hAnsi="Times New Roman"/>
          <w:sz w:val="22"/>
          <w:szCs w:val="22"/>
        </w:rPr>
        <w:t xml:space="preserve">ontractor with a copy to the </w:t>
      </w:r>
      <w:r w:rsidR="00F60098" w:rsidRPr="00846A57">
        <w:rPr>
          <w:rFonts w:ascii="Times New Roman" w:hAnsi="Times New Roman"/>
          <w:sz w:val="22"/>
          <w:szCs w:val="22"/>
        </w:rPr>
        <w:t>c</w:t>
      </w:r>
      <w:r w:rsidRPr="00846A57">
        <w:rPr>
          <w:rFonts w:ascii="Times New Roman" w:hAnsi="Times New Roman"/>
          <w:sz w:val="22"/>
          <w:szCs w:val="22"/>
        </w:rPr>
        <w:t xml:space="preserve">ontracting </w:t>
      </w:r>
      <w:r w:rsidR="00F60098" w:rsidRPr="00846A57">
        <w:rPr>
          <w:rFonts w:ascii="Times New Roman" w:hAnsi="Times New Roman"/>
          <w:sz w:val="22"/>
          <w:szCs w:val="22"/>
        </w:rPr>
        <w:t>a</w:t>
      </w:r>
      <w:r w:rsidRPr="00846A57">
        <w:rPr>
          <w:rFonts w:ascii="Times New Roman" w:hAnsi="Times New Roman"/>
          <w:sz w:val="22"/>
          <w:szCs w:val="22"/>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846A57" w:rsidRDefault="00E219CD" w:rsidP="00E219CD">
      <w:pPr>
        <w:widowControl w:val="0"/>
        <w:numPr>
          <w:ilvl w:val="0"/>
          <w:numId w:val="19"/>
        </w:numPr>
        <w:tabs>
          <w:tab w:val="left" w:pos="1560"/>
        </w:tabs>
        <w:ind w:left="1560"/>
        <w:jc w:val="both"/>
        <w:rPr>
          <w:rFonts w:ascii="Times New Roman" w:hAnsi="Times New Roman"/>
          <w:sz w:val="22"/>
          <w:szCs w:val="22"/>
        </w:rPr>
      </w:pPr>
      <w:r w:rsidRPr="00846A57">
        <w:rPr>
          <w:rFonts w:ascii="Times New Roman" w:hAnsi="Times New Roman"/>
          <w:sz w:val="22"/>
          <w:szCs w:val="22"/>
        </w:rPr>
        <w:t xml:space="preserve">reject the application, giving his reasons and specifying the action which, in his opinion, is required of the </w:t>
      </w:r>
      <w:r w:rsidR="00F60098" w:rsidRPr="00846A57">
        <w:rPr>
          <w:rFonts w:ascii="Times New Roman" w:hAnsi="Times New Roman"/>
          <w:sz w:val="22"/>
          <w:szCs w:val="22"/>
        </w:rPr>
        <w:t>c</w:t>
      </w:r>
      <w:r w:rsidRPr="00846A57">
        <w:rPr>
          <w:rFonts w:ascii="Times New Roman" w:hAnsi="Times New Roman"/>
          <w:sz w:val="22"/>
          <w:szCs w:val="22"/>
        </w:rPr>
        <w:t>ontractor for the certificate to be issued.</w:t>
      </w:r>
    </w:p>
    <w:p w14:paraId="3BB1764E" w14:textId="7BB25DF5" w:rsidR="00240B1F" w:rsidRPr="003D6B6C" w:rsidRDefault="00240B1F" w:rsidP="00D82847">
      <w:pPr>
        <w:widowControl w:val="0"/>
        <w:tabs>
          <w:tab w:val="left" w:pos="1560"/>
        </w:tabs>
        <w:ind w:left="1200"/>
        <w:jc w:val="both"/>
        <w:rPr>
          <w:rFonts w:ascii="Times New Roman" w:hAnsi="Times New Roman"/>
          <w:sz w:val="22"/>
          <w:szCs w:val="22"/>
        </w:rPr>
      </w:pPr>
      <w:r w:rsidRPr="00846A57">
        <w:rPr>
          <w:rFonts w:ascii="Times New Roman" w:hAnsi="Times New Roman"/>
          <w:sz w:val="22"/>
          <w:szCs w:val="22"/>
        </w:rPr>
        <w:t xml:space="preserve">The </w:t>
      </w:r>
      <w:r w:rsidR="00F60098" w:rsidRPr="00846A57">
        <w:rPr>
          <w:rFonts w:ascii="Times New Roman" w:hAnsi="Times New Roman"/>
          <w:sz w:val="22"/>
          <w:szCs w:val="22"/>
        </w:rPr>
        <w:t>c</w:t>
      </w:r>
      <w:r w:rsidRPr="00846A57">
        <w:rPr>
          <w:rFonts w:ascii="Times New Roman" w:hAnsi="Times New Roman"/>
          <w:sz w:val="22"/>
          <w:szCs w:val="22"/>
        </w:rPr>
        <w:t xml:space="preserve">ontracting </w:t>
      </w:r>
      <w:r w:rsidR="00F60098" w:rsidRPr="00846A57">
        <w:rPr>
          <w:rFonts w:ascii="Times New Roman" w:hAnsi="Times New Roman"/>
          <w:sz w:val="22"/>
          <w:szCs w:val="22"/>
        </w:rPr>
        <w:t>a</w:t>
      </w:r>
      <w:r w:rsidRPr="00846A57">
        <w:rPr>
          <w:rFonts w:ascii="Times New Roman" w:hAnsi="Times New Roman"/>
          <w:sz w:val="22"/>
          <w:szCs w:val="22"/>
        </w:rPr>
        <w:t xml:space="preserve">uthority’s time limit for issuing the certificate of provisional acceptance to the </w:t>
      </w:r>
      <w:r w:rsidR="00F60098" w:rsidRPr="00846A57">
        <w:rPr>
          <w:rFonts w:ascii="Times New Roman" w:hAnsi="Times New Roman"/>
          <w:sz w:val="22"/>
          <w:szCs w:val="22"/>
        </w:rPr>
        <w:t>c</w:t>
      </w:r>
      <w:r w:rsidRPr="00846A57">
        <w:rPr>
          <w:rFonts w:ascii="Times New Roman" w:hAnsi="Times New Roman"/>
          <w:sz w:val="22"/>
          <w:szCs w:val="22"/>
        </w:rPr>
        <w:t>ontractor shall not be considered included in the time limit for payments indicated in Article 26.3.</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4"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4"/>
      <w:r w:rsidR="00177A94" w:rsidRPr="003D6B6C">
        <w:rPr>
          <w:rFonts w:ascii="Times New Roman" w:hAnsi="Times New Roman"/>
          <w:b/>
          <w:sz w:val="24"/>
          <w:szCs w:val="24"/>
        </w:rPr>
        <w:t xml:space="preserve"> obligations</w:t>
      </w:r>
    </w:p>
    <w:p w14:paraId="1DF8BD85" w14:textId="77777777" w:rsidR="00134117" w:rsidRPr="00F66C31" w:rsidRDefault="00177A94" w:rsidP="00134117">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134117" w:rsidRPr="00F66C31">
        <w:rPr>
          <w:rFonts w:ascii="Times New Roman" w:hAnsi="Times New Roman"/>
          <w:sz w:val="22"/>
          <w:szCs w:val="22"/>
        </w:rPr>
        <w:t>The commercial warranty requirements are stipulated in the Annex II+III Technical Specification</w:t>
      </w:r>
    </w:p>
    <w:p w14:paraId="0D17080B" w14:textId="6A8B52E2" w:rsidR="00D13B4D" w:rsidRPr="00D13B4D" w:rsidRDefault="00134117" w:rsidP="00134117">
      <w:pPr>
        <w:ind w:left="1134"/>
        <w:jc w:val="both"/>
        <w:rPr>
          <w:rFonts w:ascii="Times New Roman" w:hAnsi="Times New Roman"/>
          <w:sz w:val="22"/>
          <w:szCs w:val="22"/>
        </w:rPr>
      </w:pPr>
      <w:r w:rsidRPr="00F66C31">
        <w:rPr>
          <w:rFonts w:ascii="Times New Roman" w:hAnsi="Times New Roman"/>
          <w:sz w:val="22"/>
          <w:szCs w:val="22"/>
        </w:rPr>
        <w:t xml:space="preserve">Where commercial warranty (issued by the manufacturer of </w:t>
      </w:r>
      <w:proofErr w:type="gramStart"/>
      <w:r w:rsidRPr="00F66C31">
        <w:rPr>
          <w:rFonts w:ascii="Times New Roman" w:hAnsi="Times New Roman"/>
          <w:sz w:val="22"/>
          <w:szCs w:val="22"/>
        </w:rPr>
        <w:t>particular item/product</w:t>
      </w:r>
      <w:proofErr w:type="gramEnd"/>
      <w:r w:rsidRPr="00F66C31">
        <w:rPr>
          <w:rFonts w:ascii="Times New Roman" w:hAnsi="Times New Roman"/>
          <w:sz w:val="22"/>
          <w:szCs w:val="22"/>
        </w:rPr>
        <w:t xml:space="preserve">) is longer than the below mentioned warranty of one year after provisional acceptance, the </w:t>
      </w:r>
      <w:r w:rsidRPr="00F66C31">
        <w:rPr>
          <w:rFonts w:ascii="Times New Roman" w:hAnsi="Times New Roman"/>
          <w:sz w:val="22"/>
          <w:szCs w:val="22"/>
        </w:rPr>
        <w:lastRenderedPageBreak/>
        <w:t>Contractor will provide complete support to the Beneficiary in contacting the manufacturer</w:t>
      </w:r>
    </w:p>
    <w:p w14:paraId="516F443D" w14:textId="7B11D45E"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Pr="00BF5617">
        <w:rPr>
          <w:rFonts w:ascii="Times New Roman" w:hAnsi="Times New Roman"/>
          <w:sz w:val="22"/>
          <w:szCs w:val="22"/>
        </w:rPr>
        <w:t>The warranty must remain valid for one year after provisional acceptance.</w:t>
      </w:r>
      <w:r w:rsidR="00BF5617" w:rsidRPr="00BF5617">
        <w:rPr>
          <w:rFonts w:ascii="Times New Roman" w:hAnsi="Times New Roman"/>
          <w:sz w:val="22"/>
          <w:szCs w:val="22"/>
        </w:rPr>
        <w:t xml:space="preserve"> This is the </w:t>
      </w:r>
      <w:r w:rsidR="00BF5617" w:rsidRPr="00BF5617">
        <w:rPr>
          <w:rFonts w:ascii="Times New Roman" w:hAnsi="Times New Roman"/>
          <w:b/>
          <w:bCs/>
          <w:sz w:val="22"/>
          <w:szCs w:val="22"/>
          <w:u w:val="single"/>
        </w:rPr>
        <w:t>contractual warranty</w:t>
      </w:r>
      <w:r w:rsidR="00BF5617" w:rsidRPr="00BF5617">
        <w:rPr>
          <w:rFonts w:ascii="Times New Roman" w:hAnsi="Times New Roman"/>
          <w:sz w:val="22"/>
          <w:szCs w:val="22"/>
        </w:rPr>
        <w:t xml:space="preserve"> for the proper execution of the contract, including installation, commissioning, and integration of all components, shall remain valid for 12 months (1 year) after the date of provisional acceptance, in line with the contract conditions.</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5" w:name="_Toc119839451"/>
      <w:bookmarkStart w:id="26"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5"/>
      <w:bookmarkEnd w:id="26"/>
    </w:p>
    <w:p w14:paraId="09B87FDF" w14:textId="00D97B99"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134117">
        <w:rPr>
          <w:rFonts w:ascii="Times New Roman" w:hAnsi="Times New Roman"/>
          <w:sz w:val="22"/>
          <w:szCs w:val="22"/>
        </w:rPr>
        <w:t>N/A</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7"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7"/>
    </w:p>
    <w:p w14:paraId="7F30D5A7" w14:textId="35B96C43" w:rsidR="0047783A" w:rsidRPr="003D6B6C" w:rsidRDefault="0047783A" w:rsidP="00B5440B">
      <w:pPr>
        <w:spacing w:before="0"/>
        <w:ind w:left="1134"/>
        <w:jc w:val="both"/>
        <w:rPr>
          <w:rFonts w:ascii="Times New Roman" w:hAnsi="Times New Roman"/>
          <w:sz w:val="22"/>
          <w:szCs w:val="22"/>
        </w:rPr>
      </w:pPr>
    </w:p>
    <w:p w14:paraId="32FDF6D7" w14:textId="0E744EDF" w:rsidR="00407C90" w:rsidRPr="00846A57" w:rsidRDefault="0047783A" w:rsidP="00BE2617">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BE2617">
        <w:rPr>
          <w:rFonts w:ascii="Times New Roman" w:hAnsi="Times New Roman"/>
          <w:sz w:val="22"/>
          <w:szCs w:val="22"/>
        </w:rPr>
        <w:t>4</w:t>
      </w:r>
      <w:r w:rsidRPr="00BE2617">
        <w:rPr>
          <w:rFonts w:ascii="Times New Roman" w:hAnsi="Times New Roman"/>
          <w:sz w:val="22"/>
          <w:szCs w:val="22"/>
        </w:rPr>
        <w:tab/>
        <w:t xml:space="preserve">Any disputes arising out of or relating to this </w:t>
      </w:r>
      <w:r w:rsidR="00F60098" w:rsidRPr="00BE2617">
        <w:rPr>
          <w:rFonts w:ascii="Times New Roman" w:hAnsi="Times New Roman"/>
          <w:sz w:val="22"/>
          <w:szCs w:val="22"/>
        </w:rPr>
        <w:t>c</w:t>
      </w:r>
      <w:r w:rsidR="0097513D" w:rsidRPr="00BE2617">
        <w:rPr>
          <w:rFonts w:ascii="Times New Roman" w:hAnsi="Times New Roman"/>
          <w:sz w:val="22"/>
          <w:szCs w:val="22"/>
        </w:rPr>
        <w:t>ontract</w:t>
      </w:r>
      <w:r w:rsidRPr="00BE2617">
        <w:rPr>
          <w:rFonts w:ascii="Times New Roman" w:hAnsi="Times New Roman"/>
          <w:sz w:val="22"/>
          <w:szCs w:val="22"/>
        </w:rPr>
        <w:t xml:space="preserve"> which cannot be settled otherwise </w:t>
      </w:r>
      <w:r w:rsidR="00177A94" w:rsidRPr="00BE2617">
        <w:rPr>
          <w:rFonts w:ascii="Times New Roman" w:hAnsi="Times New Roman"/>
          <w:sz w:val="22"/>
          <w:szCs w:val="22"/>
        </w:rPr>
        <w:t xml:space="preserve">shall </w:t>
      </w:r>
      <w:r w:rsidRPr="00BE2617">
        <w:rPr>
          <w:rFonts w:ascii="Times New Roman" w:hAnsi="Times New Roman"/>
          <w:sz w:val="22"/>
          <w:szCs w:val="22"/>
        </w:rPr>
        <w:t xml:space="preserve">be referred to the exclusive jurisdiction of </w:t>
      </w:r>
      <w:r w:rsidR="00BE2617" w:rsidRPr="00BE2617">
        <w:rPr>
          <w:rFonts w:ascii="Times New Roman" w:hAnsi="Times New Roman"/>
          <w:sz w:val="22"/>
          <w:szCs w:val="22"/>
        </w:rPr>
        <w:t xml:space="preserve">Commercial Court of </w:t>
      </w:r>
      <w:proofErr w:type="spellStart"/>
      <w:r w:rsidR="00BE2617" w:rsidRPr="00BE2617">
        <w:rPr>
          <w:rFonts w:ascii="Times New Roman" w:hAnsi="Times New Roman"/>
          <w:sz w:val="22"/>
          <w:szCs w:val="22"/>
        </w:rPr>
        <w:t>Sombor</w:t>
      </w:r>
      <w:proofErr w:type="spellEnd"/>
      <w:r w:rsidR="00BE2617" w:rsidRPr="00BE2617">
        <w:rPr>
          <w:rFonts w:ascii="Times New Roman" w:hAnsi="Times New Roman"/>
          <w:sz w:val="22"/>
          <w:szCs w:val="22"/>
        </w:rPr>
        <w:t xml:space="preserve"> in</w:t>
      </w:r>
      <w:r w:rsidR="00686ACD" w:rsidRPr="00BE2617">
        <w:rPr>
          <w:rFonts w:ascii="Times New Roman" w:hAnsi="Times New Roman"/>
          <w:sz w:val="22"/>
          <w:szCs w:val="22"/>
        </w:rPr>
        <w:t xml:space="preserve"> accordance with </w:t>
      </w:r>
      <w:r w:rsidRPr="00BE2617">
        <w:rPr>
          <w:rFonts w:ascii="Times New Roman" w:hAnsi="Times New Roman"/>
          <w:sz w:val="22"/>
          <w:szCs w:val="22"/>
        </w:rPr>
        <w:t xml:space="preserve">the national legislation of </w:t>
      </w:r>
      <w:r w:rsidR="009A0E33" w:rsidRPr="00BE2617">
        <w:rPr>
          <w:rFonts w:ascii="Times New Roman" w:hAnsi="Times New Roman"/>
          <w:sz w:val="22"/>
          <w:szCs w:val="22"/>
        </w:rPr>
        <w:t xml:space="preserve">the state of </w:t>
      </w:r>
      <w:r w:rsidRPr="00BE2617">
        <w:rPr>
          <w:rFonts w:ascii="Times New Roman" w:hAnsi="Times New Roman"/>
          <w:sz w:val="22"/>
          <w:szCs w:val="22"/>
        </w:rPr>
        <w:t xml:space="preserve">the </w:t>
      </w:r>
      <w:r w:rsidR="00F60098" w:rsidRPr="00BE2617">
        <w:rPr>
          <w:rFonts w:ascii="Times New Roman" w:hAnsi="Times New Roman"/>
          <w:sz w:val="22"/>
          <w:szCs w:val="22"/>
        </w:rPr>
        <w:t>c</w:t>
      </w:r>
      <w:r w:rsidRPr="00BE2617">
        <w:rPr>
          <w:rFonts w:ascii="Times New Roman" w:hAnsi="Times New Roman"/>
          <w:sz w:val="22"/>
          <w:szCs w:val="22"/>
        </w:rPr>
        <w:t xml:space="preserve">ontracting </w:t>
      </w:r>
      <w:r w:rsidR="00F60098" w:rsidRPr="00BE2617">
        <w:rPr>
          <w:rFonts w:ascii="Times New Roman" w:hAnsi="Times New Roman"/>
          <w:sz w:val="22"/>
          <w:szCs w:val="22"/>
        </w:rPr>
        <w:t>a</w:t>
      </w:r>
      <w:r w:rsidRPr="00BE2617">
        <w:rPr>
          <w:rFonts w:ascii="Times New Roman" w:hAnsi="Times New Roman"/>
          <w:sz w:val="22"/>
          <w:szCs w:val="22"/>
        </w:rPr>
        <w:t>uthority.</w:t>
      </w:r>
    </w:p>
    <w:p w14:paraId="5C220F03" w14:textId="23FDE560" w:rsidR="00C05EBE" w:rsidRPr="00846A57" w:rsidRDefault="00407C90" w:rsidP="00846A57">
      <w:pPr>
        <w:keepNext/>
        <w:keepLines/>
        <w:tabs>
          <w:tab w:val="left" w:pos="1134"/>
        </w:tabs>
        <w:spacing w:before="240" w:after="0"/>
        <w:ind w:left="1134" w:hanging="1134"/>
        <w:rPr>
          <w:rFonts w:ascii="Times New Roman" w:hAnsi="Times New Roman"/>
          <w:b/>
          <w:sz w:val="24"/>
          <w:szCs w:val="24"/>
        </w:rPr>
      </w:pPr>
      <w:r w:rsidRPr="00846A57">
        <w:rPr>
          <w:rFonts w:ascii="Times New Roman" w:hAnsi="Times New Roman"/>
          <w:b/>
          <w:sz w:val="24"/>
          <w:szCs w:val="24"/>
        </w:rPr>
        <w:t>Article 44</w:t>
      </w:r>
      <w:r w:rsidRPr="00846A57">
        <w:rPr>
          <w:rFonts w:ascii="Times New Roman" w:hAnsi="Times New Roman"/>
          <w:b/>
          <w:sz w:val="24"/>
          <w:szCs w:val="24"/>
        </w:rPr>
        <w:tab/>
        <w:t xml:space="preserve">Data </w:t>
      </w:r>
      <w:r w:rsidR="00686E07" w:rsidRPr="00846A57">
        <w:rPr>
          <w:rFonts w:ascii="Times New Roman" w:hAnsi="Times New Roman"/>
          <w:b/>
          <w:sz w:val="24"/>
          <w:szCs w:val="24"/>
        </w:rPr>
        <w:t>p</w:t>
      </w:r>
      <w:r w:rsidRPr="00846A57">
        <w:rPr>
          <w:rFonts w:ascii="Times New Roman" w:hAnsi="Times New Roman"/>
          <w:b/>
          <w:sz w:val="24"/>
          <w:szCs w:val="24"/>
        </w:rPr>
        <w:t>rotection</w:t>
      </w:r>
    </w:p>
    <w:p w14:paraId="53B925EB" w14:textId="77777777" w:rsidR="00625AA0" w:rsidRPr="001D4771" w:rsidRDefault="00625AA0" w:rsidP="00625AA0">
      <w:pPr>
        <w:ind w:left="567" w:hanging="567"/>
        <w:jc w:val="both"/>
        <w:rPr>
          <w:rFonts w:ascii="Times New Roman" w:hAnsi="Times New Roman"/>
          <w:sz w:val="22"/>
          <w:szCs w:val="22"/>
        </w:rPr>
      </w:pPr>
      <w:r w:rsidRPr="001D4771">
        <w:rPr>
          <w:rFonts w:ascii="Times New Roman" w:hAnsi="Times New Roman"/>
          <w:sz w:val="22"/>
          <w:szCs w:val="22"/>
        </w:rPr>
        <w:t>1.</w:t>
      </w:r>
      <w:r w:rsidRPr="001D4771">
        <w:rPr>
          <w:rFonts w:ascii="Times New Roman" w:hAnsi="Times New Roman"/>
          <w:sz w:val="22"/>
          <w:szCs w:val="22"/>
        </w:rPr>
        <w:tab/>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0BA069CF" w:rsidR="009F7E6A" w:rsidRPr="00F4288C" w:rsidRDefault="00625AA0" w:rsidP="00625AA0">
      <w:pPr>
        <w:ind w:left="567" w:hanging="567"/>
        <w:jc w:val="both"/>
        <w:rPr>
          <w:rFonts w:ascii="Times New Roman" w:hAnsi="Times New Roman"/>
          <w:sz w:val="22"/>
          <w:szCs w:val="22"/>
          <w:u w:val="single"/>
        </w:rPr>
      </w:pPr>
      <w:r w:rsidRPr="001D4771">
        <w:rPr>
          <w:rFonts w:ascii="Times New Roman" w:hAnsi="Times New Roman"/>
          <w:sz w:val="22"/>
          <w:szCs w:val="22"/>
        </w:rPr>
        <w:t>2.</w:t>
      </w:r>
      <w:r w:rsidRPr="001D4771">
        <w:rPr>
          <w:rFonts w:ascii="Times New Roman" w:hAnsi="Times New Roman"/>
          <w:sz w:val="22"/>
          <w:szCs w:val="22"/>
        </w:rPr>
        <w:tab/>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D4771">
        <w:rPr>
          <w:rStyle w:val="FootnoteReference"/>
          <w:rFonts w:ascii="Times New Roman" w:hAnsi="Times New Roman"/>
          <w:sz w:val="22"/>
          <w:szCs w:val="22"/>
        </w:rPr>
        <w:footnoteReference w:id="3"/>
      </w:r>
      <w:r w:rsidRPr="001D4771">
        <w:rPr>
          <w:rFonts w:ascii="Times New Roman" w:hAnsi="Times New Roman"/>
          <w:sz w:val="22"/>
          <w:szCs w:val="22"/>
        </w:rPr>
        <w:t xml:space="preserve"> and as detailed in the specific privacy statement published at </w:t>
      </w:r>
      <w:proofErr w:type="spellStart"/>
      <w:r w:rsidRPr="001D4771">
        <w:rPr>
          <w:rFonts w:ascii="Times New Roman" w:hAnsi="Times New Roman"/>
          <w:sz w:val="22"/>
          <w:szCs w:val="22"/>
        </w:rPr>
        <w:t>ePRAG</w:t>
      </w:r>
      <w:proofErr w:type="spellEnd"/>
      <w:r w:rsidRPr="001D4771">
        <w:rPr>
          <w:rFonts w:ascii="Times New Roman" w:hAnsi="Times New Roman"/>
          <w:sz w:val="22"/>
          <w:szCs w:val="22"/>
        </w:rPr>
        <w:t>.</w:t>
      </w:r>
    </w:p>
    <w:p w14:paraId="0BB191E9" w14:textId="01A823B2" w:rsidR="00B605B6" w:rsidRDefault="00B605B6" w:rsidP="00872DA7">
      <w:pPr>
        <w:pStyle w:val="ListNumber"/>
        <w:numPr>
          <w:ilvl w:val="0"/>
          <w:numId w:val="0"/>
        </w:numPr>
        <w:spacing w:before="240"/>
        <w:ind w:left="1134" w:hanging="1134"/>
        <w:rPr>
          <w:b/>
          <w:szCs w:val="24"/>
        </w:rPr>
      </w:pPr>
      <w:r w:rsidRPr="00846A57">
        <w:rPr>
          <w:b/>
          <w:szCs w:val="24"/>
        </w:rPr>
        <w:t>Article 45</w:t>
      </w:r>
      <w:r w:rsidRPr="00846A57">
        <w:rPr>
          <w:b/>
          <w:szCs w:val="24"/>
        </w:rPr>
        <w:tab/>
        <w:t>Further additional clauses</w:t>
      </w:r>
    </w:p>
    <w:p w14:paraId="3637455A" w14:textId="030DBD87" w:rsidR="00B605B6" w:rsidRPr="00846A57" w:rsidRDefault="00846A57" w:rsidP="00846A57">
      <w:pPr>
        <w:ind w:left="567" w:hanging="567"/>
        <w:jc w:val="both"/>
        <w:outlineLvl w:val="0"/>
        <w:rPr>
          <w:rFonts w:ascii="Times New Roman" w:hAnsi="Times New Roman"/>
          <w:sz w:val="22"/>
          <w:szCs w:val="22"/>
        </w:rPr>
      </w:pPr>
      <w:r w:rsidRPr="00846A57">
        <w:rPr>
          <w:rFonts w:ascii="Times New Roman" w:hAnsi="Times New Roman"/>
          <w:sz w:val="22"/>
          <w:szCs w:val="22"/>
        </w:rPr>
        <w:t>N/A</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footerReference w:type="even" r:id="rId11"/>
      <w:footerReference w:type="default" r:id="rId12"/>
      <w:footerReference w:type="first" r:id="rId13"/>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8D4D5" w14:textId="77777777" w:rsidR="00B90144" w:rsidRPr="006A5F84" w:rsidRDefault="00B90144">
      <w:r w:rsidRPr="006A5F84">
        <w:separator/>
      </w:r>
    </w:p>
  </w:endnote>
  <w:endnote w:type="continuationSeparator" w:id="0">
    <w:p w14:paraId="439E4E9E" w14:textId="77777777" w:rsidR="00B90144" w:rsidRPr="006A5F84" w:rsidRDefault="00B9014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7FB730BD" w:rsidR="007E36E3" w:rsidRPr="00FE689C" w:rsidRDefault="00864683"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864683">
      <w:rPr>
        <w:rFonts w:ascii="Times New Roman" w:hAnsi="Times New Roman"/>
        <w:b/>
        <w:sz w:val="18"/>
        <w:lang w:val="en-GB"/>
      </w:rPr>
      <w:t>PRAG 2025.1 - applicable from January 2025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770CBF" w14:textId="77777777" w:rsidR="00B90144" w:rsidRPr="006A5F84" w:rsidRDefault="00B90144">
      <w:r w:rsidRPr="006A5F84">
        <w:separator/>
      </w:r>
    </w:p>
  </w:footnote>
  <w:footnote w:type="continuationSeparator" w:id="0">
    <w:p w14:paraId="5C1B0A1B" w14:textId="77777777" w:rsidR="00B90144" w:rsidRPr="006A5F84" w:rsidRDefault="00B90144">
      <w:r w:rsidRPr="006A5F84">
        <w:continuationSeparator/>
      </w:r>
    </w:p>
  </w:footnote>
  <w:footnote w:id="1">
    <w:p w14:paraId="56D56E54" w14:textId="0C13E274" w:rsidR="001C6A79" w:rsidRPr="00B5440B" w:rsidRDefault="001C6A79" w:rsidP="009D0375">
      <w:pPr>
        <w:pStyle w:val="FootnoteText"/>
        <w:rPr>
          <w:lang w:val="en-IE"/>
        </w:rPr>
      </w:pPr>
      <w:r>
        <w:rPr>
          <w:rStyle w:val="FootnoteReference"/>
        </w:rPr>
        <w:footnoteRef/>
      </w:r>
      <w:r w:rsidR="009D0375" w:rsidRPr="00B5440B">
        <w:rPr>
          <w:lang w:val="en-IE"/>
        </w:rPr>
        <w:tab/>
      </w:r>
      <w:bookmarkStart w:id="21" w:name="_Hlk167465553"/>
      <w:r w:rsidR="00651B07" w:rsidRPr="00181191">
        <w:rPr>
          <w:lang w:val="en-IE"/>
        </w:rPr>
        <w:t xml:space="preserve">The first-prefinancing payment shall not be subject to the receipt of an invoice and no invoice is required. In case the use of the electronic exchange system under Article 4.4 of the special conditions is not activated, the contractor must send an invoice for the pre-financing payment. </w:t>
      </w:r>
      <w:bookmarkEnd w:id="21"/>
      <w:r w:rsidRPr="00181191">
        <w:rPr>
          <w:lang w:val="en-IE"/>
        </w:rPr>
        <w:t>Otherwise</w:t>
      </w:r>
      <w:r w:rsidR="00A31EF5" w:rsidRPr="00181191">
        <w:rPr>
          <w:lang w:val="en-IE"/>
        </w:rPr>
        <w:t>,</w:t>
      </w:r>
      <w:r w:rsidRPr="00181191">
        <w:rPr>
          <w:lang w:val="en-IE"/>
        </w:rPr>
        <w:t xml:space="preserve"> the first-prefinancing payment shall not be subject to the receipt of an invoice</w:t>
      </w:r>
      <w:r w:rsidR="00A31EF5" w:rsidRPr="00181191">
        <w:rPr>
          <w:lang w:val="en-IE"/>
        </w:rPr>
        <w:t xml:space="preserve"> and no invoice is required</w:t>
      </w:r>
      <w:r w:rsidRPr="00181191">
        <w:rPr>
          <w:lang w:val="en-IE"/>
        </w:rPr>
        <w:t>.</w:t>
      </w:r>
    </w:p>
  </w:footnote>
  <w:footnote w:id="2">
    <w:p w14:paraId="6DE1FC9D" w14:textId="6F49F8E8" w:rsidR="00BD1517" w:rsidRPr="00B5440B" w:rsidRDefault="00BD1517" w:rsidP="009D0375">
      <w:pPr>
        <w:pStyle w:val="FootnoteText"/>
        <w:rPr>
          <w:lang w:val="en-IE"/>
        </w:rPr>
      </w:pPr>
      <w:r w:rsidRPr="00846A57">
        <w:rPr>
          <w:rStyle w:val="FootnoteReference"/>
        </w:rPr>
        <w:footnoteRef/>
      </w:r>
      <w:r w:rsidR="009D0375" w:rsidRPr="00846A57">
        <w:rPr>
          <w:lang w:val="en-IE"/>
        </w:rPr>
        <w:tab/>
      </w:r>
      <w:r w:rsidRPr="00846A57">
        <w:rPr>
          <w:lang w:val="en-IE"/>
        </w:rPr>
        <w:t>DDP (Delivered Duty Paid)</w:t>
      </w:r>
      <w:r w:rsidRPr="00846A57">
        <w:rPr>
          <w:sz w:val="22"/>
          <w:szCs w:val="22"/>
          <w:lang w:val="en-IE"/>
        </w:rPr>
        <w:t xml:space="preserve"> </w:t>
      </w:r>
      <w:r w:rsidRPr="00846A57">
        <w:rPr>
          <w:lang w:val="en-IE"/>
        </w:rPr>
        <w:t>-</w:t>
      </w:r>
      <w:r w:rsidRPr="00B5440B">
        <w:rPr>
          <w:lang w:val="en-IE"/>
        </w:rPr>
        <w:t xml:space="preserve"> Incoterms 2020 International Chamber of Commerce - </w:t>
      </w:r>
      <w:hyperlink r:id="rId1" w:history="1">
        <w:r w:rsidRPr="001E08E3">
          <w:rPr>
            <w:rStyle w:val="Hyperlink"/>
            <w:lang w:val="en-GB"/>
          </w:rPr>
          <w:t>http://www.iccwbo.org/incoterms/</w:t>
        </w:r>
      </w:hyperlink>
    </w:p>
  </w:footnote>
  <w:footnote w:id="3">
    <w:p w14:paraId="26C150C0" w14:textId="77777777" w:rsidR="00625AA0" w:rsidRDefault="00625AA0" w:rsidP="00625AA0">
      <w:pPr>
        <w:pStyle w:val="FootnoteText"/>
      </w:pPr>
      <w:r>
        <w:rPr>
          <w:rStyle w:val="FootnoteReference"/>
        </w:rPr>
        <w:footnoteRef/>
      </w:r>
      <w:r>
        <w:tab/>
        <w:t>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0"/>
  </w:num>
  <w:num w:numId="2" w16cid:durableId="818964447">
    <w:abstractNumId w:val="23"/>
  </w:num>
  <w:num w:numId="3" w16cid:durableId="1091316594">
    <w:abstractNumId w:val="9"/>
  </w:num>
  <w:num w:numId="4" w16cid:durableId="325011496">
    <w:abstractNumId w:val="12"/>
  </w:num>
  <w:num w:numId="5" w16cid:durableId="1126629808">
    <w:abstractNumId w:val="25"/>
  </w:num>
  <w:num w:numId="6" w16cid:durableId="2105033888">
    <w:abstractNumId w:val="7"/>
  </w:num>
  <w:num w:numId="7" w16cid:durableId="974914910">
    <w:abstractNumId w:val="4"/>
  </w:num>
  <w:num w:numId="8" w16cid:durableId="1185364038">
    <w:abstractNumId w:val="1"/>
  </w:num>
  <w:num w:numId="9" w16cid:durableId="1801801330">
    <w:abstractNumId w:val="13"/>
  </w:num>
  <w:num w:numId="10" w16cid:durableId="205871635">
    <w:abstractNumId w:val="3"/>
  </w:num>
  <w:num w:numId="11" w16cid:durableId="1573999615">
    <w:abstractNumId w:val="21"/>
  </w:num>
  <w:num w:numId="12" w16cid:durableId="310447625">
    <w:abstractNumId w:val="11"/>
  </w:num>
  <w:num w:numId="13" w16cid:durableId="2093429629">
    <w:abstractNumId w:val="5"/>
  </w:num>
  <w:num w:numId="14" w16cid:durableId="892740171">
    <w:abstractNumId w:val="18"/>
  </w:num>
  <w:num w:numId="15" w16cid:durableId="1700667367">
    <w:abstractNumId w:val="19"/>
  </w:num>
  <w:num w:numId="16" w16cid:durableId="787310804">
    <w:abstractNumId w:val="6"/>
  </w:num>
  <w:num w:numId="17" w16cid:durableId="1691101858">
    <w:abstractNumId w:val="15"/>
  </w:num>
  <w:num w:numId="18" w16cid:durableId="860165109">
    <w:abstractNumId w:val="8"/>
  </w:num>
  <w:num w:numId="19" w16cid:durableId="1202285303">
    <w:abstractNumId w:val="2"/>
  </w:num>
  <w:num w:numId="20" w16cid:durableId="988704147">
    <w:abstractNumId w:val="22"/>
  </w:num>
  <w:num w:numId="21" w16cid:durableId="1560508426">
    <w:abstractNumId w:val="16"/>
  </w:num>
  <w:num w:numId="22" w16cid:durableId="1179002257">
    <w:abstractNumId w:val="14"/>
  </w:num>
  <w:num w:numId="23" w16cid:durableId="229584476">
    <w:abstractNumId w:val="0"/>
  </w:num>
  <w:num w:numId="24" w16cid:durableId="1334186439">
    <w:abstractNumId w:val="20"/>
  </w:num>
  <w:num w:numId="25" w16cid:durableId="1944266987">
    <w:abstractNumId w:val="26"/>
  </w:num>
  <w:num w:numId="26" w16cid:durableId="17395838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25398"/>
    <w:rsid w:val="00035AE5"/>
    <w:rsid w:val="00035D61"/>
    <w:rsid w:val="00040153"/>
    <w:rsid w:val="00040CF1"/>
    <w:rsid w:val="00041516"/>
    <w:rsid w:val="000417E2"/>
    <w:rsid w:val="00042EEB"/>
    <w:rsid w:val="00043159"/>
    <w:rsid w:val="0004517D"/>
    <w:rsid w:val="0005000A"/>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3E2A"/>
    <w:rsid w:val="000A477D"/>
    <w:rsid w:val="000A5F2B"/>
    <w:rsid w:val="000A6371"/>
    <w:rsid w:val="000A7A2C"/>
    <w:rsid w:val="000B0983"/>
    <w:rsid w:val="000B1236"/>
    <w:rsid w:val="000B3D64"/>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34117"/>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2260"/>
    <w:rsid w:val="001766D9"/>
    <w:rsid w:val="00177A94"/>
    <w:rsid w:val="00180E2D"/>
    <w:rsid w:val="00181191"/>
    <w:rsid w:val="00181980"/>
    <w:rsid w:val="00184144"/>
    <w:rsid w:val="001859A5"/>
    <w:rsid w:val="001864B6"/>
    <w:rsid w:val="00187253"/>
    <w:rsid w:val="00190077"/>
    <w:rsid w:val="001932AF"/>
    <w:rsid w:val="001937B4"/>
    <w:rsid w:val="001A0632"/>
    <w:rsid w:val="001A09FA"/>
    <w:rsid w:val="001A6941"/>
    <w:rsid w:val="001A6C79"/>
    <w:rsid w:val="001B4DA9"/>
    <w:rsid w:val="001B5454"/>
    <w:rsid w:val="001B55AC"/>
    <w:rsid w:val="001C6A79"/>
    <w:rsid w:val="001C709F"/>
    <w:rsid w:val="001C75B0"/>
    <w:rsid w:val="001C7A55"/>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83CF3"/>
    <w:rsid w:val="00290561"/>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2EF7"/>
    <w:rsid w:val="003330F8"/>
    <w:rsid w:val="00335E06"/>
    <w:rsid w:val="0033700A"/>
    <w:rsid w:val="003409B8"/>
    <w:rsid w:val="003439C4"/>
    <w:rsid w:val="00345D44"/>
    <w:rsid w:val="00347B7E"/>
    <w:rsid w:val="003502E9"/>
    <w:rsid w:val="00351351"/>
    <w:rsid w:val="00360344"/>
    <w:rsid w:val="003613D2"/>
    <w:rsid w:val="00361AE1"/>
    <w:rsid w:val="00361AF6"/>
    <w:rsid w:val="0036422F"/>
    <w:rsid w:val="00371851"/>
    <w:rsid w:val="00371F01"/>
    <w:rsid w:val="003721AD"/>
    <w:rsid w:val="00372540"/>
    <w:rsid w:val="0038104E"/>
    <w:rsid w:val="00382640"/>
    <w:rsid w:val="0038357E"/>
    <w:rsid w:val="00384BAB"/>
    <w:rsid w:val="00384BFF"/>
    <w:rsid w:val="00384E02"/>
    <w:rsid w:val="00385FFC"/>
    <w:rsid w:val="00387C56"/>
    <w:rsid w:val="003915CC"/>
    <w:rsid w:val="00391C12"/>
    <w:rsid w:val="003925E9"/>
    <w:rsid w:val="0039277B"/>
    <w:rsid w:val="003933E2"/>
    <w:rsid w:val="003934A2"/>
    <w:rsid w:val="00395823"/>
    <w:rsid w:val="003A1309"/>
    <w:rsid w:val="003A431E"/>
    <w:rsid w:val="003C084D"/>
    <w:rsid w:val="003C7266"/>
    <w:rsid w:val="003D2078"/>
    <w:rsid w:val="003D3CAA"/>
    <w:rsid w:val="003D625C"/>
    <w:rsid w:val="003D6B6C"/>
    <w:rsid w:val="003D7611"/>
    <w:rsid w:val="003E5CA0"/>
    <w:rsid w:val="003E7C71"/>
    <w:rsid w:val="003F0A49"/>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6030"/>
    <w:rsid w:val="004C77A2"/>
    <w:rsid w:val="004D2FD8"/>
    <w:rsid w:val="004D33C9"/>
    <w:rsid w:val="004D7349"/>
    <w:rsid w:val="004E43B2"/>
    <w:rsid w:val="004E6C5D"/>
    <w:rsid w:val="004F5C57"/>
    <w:rsid w:val="004F7A0E"/>
    <w:rsid w:val="005005D7"/>
    <w:rsid w:val="00501FF0"/>
    <w:rsid w:val="005047E0"/>
    <w:rsid w:val="00507AF2"/>
    <w:rsid w:val="00507BA0"/>
    <w:rsid w:val="00512BE8"/>
    <w:rsid w:val="00513C6F"/>
    <w:rsid w:val="00515D85"/>
    <w:rsid w:val="00516552"/>
    <w:rsid w:val="0051770F"/>
    <w:rsid w:val="0052175F"/>
    <w:rsid w:val="00527A16"/>
    <w:rsid w:val="00530948"/>
    <w:rsid w:val="0053480C"/>
    <w:rsid w:val="00535826"/>
    <w:rsid w:val="00536B4A"/>
    <w:rsid w:val="00537189"/>
    <w:rsid w:val="00551543"/>
    <w:rsid w:val="00554164"/>
    <w:rsid w:val="00555019"/>
    <w:rsid w:val="00555E74"/>
    <w:rsid w:val="00555F46"/>
    <w:rsid w:val="00556923"/>
    <w:rsid w:val="00556F39"/>
    <w:rsid w:val="005603B0"/>
    <w:rsid w:val="005634B2"/>
    <w:rsid w:val="00563662"/>
    <w:rsid w:val="00563669"/>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219A1"/>
    <w:rsid w:val="00623AB3"/>
    <w:rsid w:val="00625AA0"/>
    <w:rsid w:val="006311FE"/>
    <w:rsid w:val="0063123B"/>
    <w:rsid w:val="00631F9A"/>
    <w:rsid w:val="00633829"/>
    <w:rsid w:val="00636E8F"/>
    <w:rsid w:val="00637C8F"/>
    <w:rsid w:val="006408AC"/>
    <w:rsid w:val="00640D24"/>
    <w:rsid w:val="00642E75"/>
    <w:rsid w:val="00651B07"/>
    <w:rsid w:val="00655A60"/>
    <w:rsid w:val="00655CE0"/>
    <w:rsid w:val="006575A8"/>
    <w:rsid w:val="00661B3C"/>
    <w:rsid w:val="0066519D"/>
    <w:rsid w:val="00670223"/>
    <w:rsid w:val="00674EE5"/>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04D5"/>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4A64"/>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347"/>
    <w:rsid w:val="00830BE9"/>
    <w:rsid w:val="00833EBD"/>
    <w:rsid w:val="008413B3"/>
    <w:rsid w:val="008428B9"/>
    <w:rsid w:val="00846A57"/>
    <w:rsid w:val="00853F9D"/>
    <w:rsid w:val="00855409"/>
    <w:rsid w:val="0085667F"/>
    <w:rsid w:val="008617F3"/>
    <w:rsid w:val="00864683"/>
    <w:rsid w:val="0086688D"/>
    <w:rsid w:val="00866B17"/>
    <w:rsid w:val="00870FD6"/>
    <w:rsid w:val="00872DA7"/>
    <w:rsid w:val="008733D3"/>
    <w:rsid w:val="00876589"/>
    <w:rsid w:val="008808CB"/>
    <w:rsid w:val="0088419E"/>
    <w:rsid w:val="00884325"/>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2318"/>
    <w:rsid w:val="009143FD"/>
    <w:rsid w:val="00920A51"/>
    <w:rsid w:val="00922542"/>
    <w:rsid w:val="00923EDA"/>
    <w:rsid w:val="009251E3"/>
    <w:rsid w:val="00925DBE"/>
    <w:rsid w:val="00930AD1"/>
    <w:rsid w:val="0093582A"/>
    <w:rsid w:val="009372A3"/>
    <w:rsid w:val="00945CA1"/>
    <w:rsid w:val="0094670B"/>
    <w:rsid w:val="00950B0C"/>
    <w:rsid w:val="009679FA"/>
    <w:rsid w:val="0097513D"/>
    <w:rsid w:val="00980A42"/>
    <w:rsid w:val="00983FDE"/>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18B0"/>
    <w:rsid w:val="00A2645C"/>
    <w:rsid w:val="00A277E9"/>
    <w:rsid w:val="00A3002D"/>
    <w:rsid w:val="00A30A96"/>
    <w:rsid w:val="00A31EF5"/>
    <w:rsid w:val="00A41B28"/>
    <w:rsid w:val="00A50901"/>
    <w:rsid w:val="00A5099A"/>
    <w:rsid w:val="00A512A5"/>
    <w:rsid w:val="00A512C9"/>
    <w:rsid w:val="00A539E4"/>
    <w:rsid w:val="00A55A8E"/>
    <w:rsid w:val="00A56046"/>
    <w:rsid w:val="00A56874"/>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3EB"/>
    <w:rsid w:val="00AE6600"/>
    <w:rsid w:val="00AE7D13"/>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77E4"/>
    <w:rsid w:val="00B30528"/>
    <w:rsid w:val="00B3168E"/>
    <w:rsid w:val="00B34179"/>
    <w:rsid w:val="00B44B08"/>
    <w:rsid w:val="00B44DC5"/>
    <w:rsid w:val="00B4772C"/>
    <w:rsid w:val="00B51209"/>
    <w:rsid w:val="00B52AFC"/>
    <w:rsid w:val="00B5440B"/>
    <w:rsid w:val="00B569B1"/>
    <w:rsid w:val="00B576E1"/>
    <w:rsid w:val="00B57BB8"/>
    <w:rsid w:val="00B605B6"/>
    <w:rsid w:val="00B61CED"/>
    <w:rsid w:val="00B63280"/>
    <w:rsid w:val="00B70C0E"/>
    <w:rsid w:val="00B7329A"/>
    <w:rsid w:val="00B80DE8"/>
    <w:rsid w:val="00B8161D"/>
    <w:rsid w:val="00B84EBC"/>
    <w:rsid w:val="00B90144"/>
    <w:rsid w:val="00B90A17"/>
    <w:rsid w:val="00B90C14"/>
    <w:rsid w:val="00B9254B"/>
    <w:rsid w:val="00B9316C"/>
    <w:rsid w:val="00B96171"/>
    <w:rsid w:val="00B965CD"/>
    <w:rsid w:val="00B9691D"/>
    <w:rsid w:val="00BA3081"/>
    <w:rsid w:val="00BA3B1A"/>
    <w:rsid w:val="00BA70CB"/>
    <w:rsid w:val="00BB2075"/>
    <w:rsid w:val="00BB2DA5"/>
    <w:rsid w:val="00BB56D3"/>
    <w:rsid w:val="00BC0916"/>
    <w:rsid w:val="00BC0A51"/>
    <w:rsid w:val="00BC3B75"/>
    <w:rsid w:val="00BC3D17"/>
    <w:rsid w:val="00BC6222"/>
    <w:rsid w:val="00BC743F"/>
    <w:rsid w:val="00BD1306"/>
    <w:rsid w:val="00BD1517"/>
    <w:rsid w:val="00BD19BA"/>
    <w:rsid w:val="00BD201F"/>
    <w:rsid w:val="00BD2F43"/>
    <w:rsid w:val="00BD3371"/>
    <w:rsid w:val="00BD727C"/>
    <w:rsid w:val="00BD72C6"/>
    <w:rsid w:val="00BE2617"/>
    <w:rsid w:val="00BE3FDF"/>
    <w:rsid w:val="00BF1A9A"/>
    <w:rsid w:val="00BF5617"/>
    <w:rsid w:val="00C01E30"/>
    <w:rsid w:val="00C05EBE"/>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31B2"/>
    <w:rsid w:val="00D13B4D"/>
    <w:rsid w:val="00D14292"/>
    <w:rsid w:val="00D17DAE"/>
    <w:rsid w:val="00D216E3"/>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2F8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811F3"/>
    <w:rsid w:val="00E85F91"/>
    <w:rsid w:val="00E87734"/>
    <w:rsid w:val="00EA2492"/>
    <w:rsid w:val="00EA63E1"/>
    <w:rsid w:val="00EA6ACD"/>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002D"/>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75169">
      <w:bodyDiv w:val="1"/>
      <w:marLeft w:val="0"/>
      <w:marRight w:val="0"/>
      <w:marTop w:val="0"/>
      <w:marBottom w:val="0"/>
      <w:divBdr>
        <w:top w:val="none" w:sz="0" w:space="0" w:color="auto"/>
        <w:left w:val="none" w:sz="0" w:space="0" w:color="auto"/>
        <w:bottom w:val="none" w:sz="0" w:space="0" w:color="auto"/>
        <w:right w:val="none" w:sz="0" w:space="0" w:color="auto"/>
      </w:divBdr>
    </w:div>
    <w:div w:id="71396123">
      <w:bodyDiv w:val="1"/>
      <w:marLeft w:val="0"/>
      <w:marRight w:val="0"/>
      <w:marTop w:val="0"/>
      <w:marBottom w:val="0"/>
      <w:divBdr>
        <w:top w:val="none" w:sz="0" w:space="0" w:color="auto"/>
        <w:left w:val="none" w:sz="0" w:space="0" w:color="auto"/>
        <w:bottom w:val="none" w:sz="0" w:space="0" w:color="auto"/>
        <w:right w:val="none" w:sz="0" w:space="0" w:color="auto"/>
      </w:divBdr>
    </w:div>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321198723">
      <w:bodyDiv w:val="1"/>
      <w:marLeft w:val="0"/>
      <w:marRight w:val="0"/>
      <w:marTop w:val="0"/>
      <w:marBottom w:val="0"/>
      <w:divBdr>
        <w:top w:val="none" w:sz="0" w:space="0" w:color="auto"/>
        <w:left w:val="none" w:sz="0" w:space="0" w:color="auto"/>
        <w:bottom w:val="none" w:sz="0" w:space="0" w:color="auto"/>
        <w:right w:val="none" w:sz="0" w:space="0" w:color="auto"/>
      </w:divBdr>
    </w:div>
    <w:div w:id="35966665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517158790">
      <w:bodyDiv w:val="1"/>
      <w:marLeft w:val="0"/>
      <w:marRight w:val="0"/>
      <w:marTop w:val="0"/>
      <w:marBottom w:val="0"/>
      <w:divBdr>
        <w:top w:val="none" w:sz="0" w:space="0" w:color="auto"/>
        <w:left w:val="none" w:sz="0" w:space="0" w:color="auto"/>
        <w:bottom w:val="none" w:sz="0" w:space="0" w:color="auto"/>
        <w:right w:val="none" w:sz="0" w:space="0" w:color="auto"/>
      </w:divBdr>
    </w:div>
    <w:div w:id="567301611">
      <w:bodyDiv w:val="1"/>
      <w:marLeft w:val="0"/>
      <w:marRight w:val="0"/>
      <w:marTop w:val="0"/>
      <w:marBottom w:val="0"/>
      <w:divBdr>
        <w:top w:val="none" w:sz="0" w:space="0" w:color="auto"/>
        <w:left w:val="none" w:sz="0" w:space="0" w:color="auto"/>
        <w:bottom w:val="none" w:sz="0" w:space="0" w:color="auto"/>
        <w:right w:val="none" w:sz="0" w:space="0" w:color="auto"/>
      </w:divBdr>
    </w:div>
    <w:div w:id="700202588">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905184775">
      <w:bodyDiv w:val="1"/>
      <w:marLeft w:val="0"/>
      <w:marRight w:val="0"/>
      <w:marTop w:val="0"/>
      <w:marBottom w:val="0"/>
      <w:divBdr>
        <w:top w:val="none" w:sz="0" w:space="0" w:color="auto"/>
        <w:left w:val="none" w:sz="0" w:space="0" w:color="auto"/>
        <w:bottom w:val="none" w:sz="0" w:space="0" w:color="auto"/>
        <w:right w:val="none" w:sz="0" w:space="0" w:color="auto"/>
      </w:divBdr>
    </w:div>
    <w:div w:id="2015570240">
      <w:bodyDiv w:val="1"/>
      <w:marLeft w:val="0"/>
      <w:marRight w:val="0"/>
      <w:marTop w:val="0"/>
      <w:marBottom w:val="0"/>
      <w:divBdr>
        <w:top w:val="none" w:sz="0" w:space="0" w:color="auto"/>
        <w:left w:val="none" w:sz="0" w:space="0" w:color="auto"/>
        <w:bottom w:val="none" w:sz="0" w:space="0" w:color="auto"/>
        <w:right w:val="none" w:sz="0" w:space="0" w:color="auto"/>
      </w:divBdr>
    </w:div>
    <w:div w:id="203457537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ijana.rilke@sombor.r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ijana.rilke@sombor.rs" TargetMode="External"/><Relationship Id="rId4" Type="http://schemas.openxmlformats.org/officeDocument/2006/relationships/settings" Target="settings.xml"/><Relationship Id="rId9" Type="http://schemas.openxmlformats.org/officeDocument/2006/relationships/hyperlink" Target="https://ec.europa.eu/info/funding-tenders/opportunities/porta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1120</TotalTime>
  <Pages>7</Pages>
  <Words>2381</Words>
  <Characters>13575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15925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author</cp:lastModifiedBy>
  <cp:revision>134</cp:revision>
  <cp:lastPrinted>2014-02-11T14:32:00Z</cp:lastPrinted>
  <dcterms:created xsi:type="dcterms:W3CDTF">2018-12-18T11:40:00Z</dcterms:created>
  <dcterms:modified xsi:type="dcterms:W3CDTF">2025-04-27T13:15:00Z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