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7D6FB4AE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35FF20D3" w:rsidR="00B65B08" w:rsidRPr="00E20EE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E20E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E20EEB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68BAA2BD" w:rsidR="00B65B08" w:rsidRPr="00954073" w:rsidRDefault="002146C9" w:rsidP="0095407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954073" w:rsidRPr="0095407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Паметни туризам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366E2CFF" w:rsidR="00B65B08" w:rsidRPr="00954073" w:rsidRDefault="002146C9" w:rsidP="009540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954073" w:rsidRPr="00275229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Угљеша В. Станков</w:t>
              </w:r>
            </w:hyperlink>
            <w:r w:rsidR="002078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hyperlink r:id="rId7" w:history="1">
              <w:r w:rsidR="002078DA" w:rsidRPr="00275229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Вања Павлуковић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7E2F49CE" w:rsidR="00B65B08" w:rsidRPr="00954073" w:rsidRDefault="002146C9" w:rsidP="009540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954073" w:rsidRPr="0095407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изборни</w:t>
            </w:r>
            <w:r w:rsidR="007C29D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(Т</w:t>
            </w:r>
            <w:r w:rsidR="002678B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, ЛТ</w:t>
            </w:r>
            <w:r w:rsidR="007C29D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29D2A8A0" w:rsidR="00B65B08" w:rsidRPr="0095407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954073" w:rsidRPr="0095407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5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6C1686C0" w:rsidR="00B65B08" w:rsidRPr="00954073" w:rsidRDefault="002146C9" w:rsidP="009540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954073" w:rsidRPr="0095407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3777F986" w:rsidR="00B65B08" w:rsidRPr="00C9249D" w:rsidRDefault="00C9249D" w:rsidP="009136E3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C9249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Предмет има за циљ да студенте упозна са принципима паметног туризма и </w:t>
            </w:r>
            <w:r w:rsidR="009136E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његовим развојем</w:t>
            </w:r>
            <w:r w:rsidRPr="00C9249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концептом паметне туристичке дестинације, развојем туризма у паметним градовима, паметним туристичким системима, </w:t>
            </w:r>
            <w:r w:rsidR="00CF5F6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туристичком аналитиком</w:t>
            </w:r>
            <w:r w:rsidRPr="00C9249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, као и са</w:t>
            </w:r>
            <w:r w:rsidRPr="00C9249D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9249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принципима одрживости паметног туризма. Циљ је студентима пружити знање о томе како критички проценити концепт паметног туризма и посматрати га на примерима из света.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24300C7D" w:rsidR="00B65B08" w:rsidRPr="00424158" w:rsidRDefault="000C5BD4" w:rsidP="0036496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0C5B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 завршетку овог курса студенти стичу критичко разумевање и способност процене концепта паметног туризма и кључних принципа развоја паметних</w:t>
            </w:r>
            <w:r w:rsidR="001A2AD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дестинација. Компетентност </w:t>
            </w:r>
            <w:r w:rsidR="001A2AD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за</w:t>
            </w:r>
            <w:r w:rsidR="001A2AD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развој, планирање и прилагођавање стратегије паметне дестинације засноване на примерима из света. </w:t>
            </w:r>
            <w:r w:rsidR="001A2AD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Знање како развити стратегију паметне туристичке дестинације засноване</w:t>
            </w:r>
            <w:r w:rsidR="001A2AD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на </w:t>
            </w:r>
            <w:r w:rsidRPr="000C5B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глобалним одрживим циљевима. Студенти ће такође стећи компетентност за интеракцију са технолошким стручњацима и како управљати доступним информационо-комуникационо технолошким (ИКТ) средствима најефикасније (људи, паметне технологије и други ресурси).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6CB3A1FC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425A428C" w14:textId="299B1D39" w:rsidR="00275568" w:rsidRPr="00275568" w:rsidRDefault="00275568" w:rsidP="0027556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75568">
              <w:rPr>
                <w:rFonts w:ascii="Times New Roman" w:eastAsia="Times New Roman" w:hAnsi="Times New Roman"/>
                <w:sz w:val="20"/>
                <w:szCs w:val="20"/>
              </w:rPr>
              <w:t>Дефинисање концепта паметног туризма (Тумачење и приступи дефинисању конц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епта паметног туризма у свету)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275568">
              <w:rPr>
                <w:rFonts w:ascii="Times New Roman" w:eastAsia="Times New Roman" w:hAnsi="Times New Roman"/>
                <w:sz w:val="20"/>
                <w:szCs w:val="20"/>
              </w:rPr>
              <w:t>Систем и структура паметног туризма (концептуалне осно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ве екосистема паметног туризма)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275568">
              <w:rPr>
                <w:rFonts w:ascii="Times New Roman" w:eastAsia="Times New Roman" w:hAnsi="Times New Roman"/>
                <w:sz w:val="20"/>
                <w:szCs w:val="20"/>
              </w:rPr>
              <w:t xml:space="preserve"> Пос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ловни темељи паметног туризма (ф</w:t>
            </w:r>
            <w:r w:rsidRPr="00275568">
              <w:rPr>
                <w:rFonts w:ascii="Times New Roman" w:eastAsia="Times New Roman" w:hAnsi="Times New Roman"/>
                <w:sz w:val="20"/>
                <w:szCs w:val="20"/>
              </w:rPr>
              <w:t xml:space="preserve">ункције управе и предузећа у паметном туризму, дестинацијске менаџмент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организације и паметни туризам)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Р</w:t>
            </w:r>
            <w:r w:rsidRPr="00275568">
              <w:rPr>
                <w:rFonts w:ascii="Times New Roman" w:eastAsia="Times New Roman" w:hAnsi="Times New Roman"/>
                <w:sz w:val="20"/>
                <w:szCs w:val="20"/>
              </w:rPr>
              <w:t>азв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ој туризма у паметним градовима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</w:t>
            </w:r>
            <w:r w:rsidRPr="00275568">
              <w:rPr>
                <w:rFonts w:ascii="Times New Roman" w:eastAsia="Times New Roman" w:hAnsi="Times New Roman"/>
                <w:sz w:val="20"/>
                <w:szCs w:val="20"/>
              </w:rPr>
              <w:t>онцепт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70BE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 развој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паметне туристичке дестинације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275568">
              <w:rPr>
                <w:rFonts w:ascii="Times New Roman" w:eastAsia="Times New Roman" w:hAnsi="Times New Roman"/>
                <w:sz w:val="20"/>
                <w:szCs w:val="20"/>
              </w:rPr>
              <w:t xml:space="preserve"> Људски ресурси у развоју паметног туризма и п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аметних туристичких дестинација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аметна технологија у туризму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</w:t>
            </w:r>
            <w:r w:rsidRPr="00275568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метни туризам и паметни туристи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</w:t>
            </w:r>
            <w:r w:rsidRPr="00275568">
              <w:rPr>
                <w:rFonts w:ascii="Times New Roman" w:eastAsia="Times New Roman" w:hAnsi="Times New Roman"/>
                <w:sz w:val="20"/>
                <w:szCs w:val="20"/>
              </w:rPr>
              <w:t>аједничко креирање персонализованих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искустава кроз паметни туризам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уристичка аналитика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</w:t>
            </w:r>
            <w:r w:rsidRPr="00275568">
              <w:rPr>
                <w:rFonts w:ascii="Times New Roman" w:eastAsia="Times New Roman" w:hAnsi="Times New Roman"/>
                <w:sz w:val="20"/>
                <w:szCs w:val="20"/>
              </w:rPr>
              <w:t xml:space="preserve">аметни туризам и одрживост.  </w:t>
            </w:r>
          </w:p>
          <w:p w14:paraId="21D1661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45869423" w14:textId="04FD863C" w:rsidR="00C939E4" w:rsidRPr="00C939E4" w:rsidRDefault="00BA098E" w:rsidP="00C939E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098E">
              <w:rPr>
                <w:rFonts w:ascii="Times New Roman" w:eastAsia="Times New Roman" w:hAnsi="Times New Roman"/>
                <w:sz w:val="20"/>
                <w:szCs w:val="20"/>
              </w:rPr>
              <w:t>Спровођење истраживања и израда пројектних задатака у којем студенти критички оцењују концепт паметне туристичке дестинације са примером из света. Пројектни задатак треба да обухвати фазе и принципе развоја паметне дестинације и аналитику туризма обрађену током предавања. Анализирање студија случаја код нас и у другим земљама. Упознавање са начином писања извештаја у којем се представља концепт паметног туризма заснован на принципима одрживог развоја.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239CDF2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542990BE" w14:textId="50212042" w:rsidR="00BA098E" w:rsidRPr="00BA098E" w:rsidRDefault="00BA098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Основна литература</w:t>
            </w:r>
          </w:p>
          <w:p w14:paraId="2002AAAD" w14:textId="77777777" w:rsidR="00B1003E" w:rsidRPr="00B1003E" w:rsidRDefault="00B1003E" w:rsidP="00B100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03E">
              <w:rPr>
                <w:rFonts w:ascii="Times New Roman" w:eastAsia="Times New Roman" w:hAnsi="Times New Roman"/>
                <w:sz w:val="20"/>
                <w:szCs w:val="20"/>
              </w:rPr>
              <w:t>Станков, У. (2020): Е-туризам. Универзитет у Новом Саду, Природно-математички факултет, Департман за географију, туризам и хотелијерство, Нови Сад.</w:t>
            </w:r>
          </w:p>
          <w:p w14:paraId="215A7D99" w14:textId="21DF5919" w:rsidR="00B1003E" w:rsidRDefault="00B1003E" w:rsidP="00B100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03E">
              <w:rPr>
                <w:rFonts w:ascii="Times New Roman" w:eastAsia="Times New Roman" w:hAnsi="Times New Roman"/>
                <w:sz w:val="20"/>
                <w:szCs w:val="20"/>
              </w:rPr>
              <w:t>Цимбаљевић, М. (2019). Могућности примене концепта паметног туризма за унапређење туристичке понуде Србије. Универзитет у Новом Саду, Природно-математички факултет, Департман за географију, туризам и хотелијерство, Нови Сад (докторска дисертација)</w:t>
            </w:r>
          </w:p>
          <w:p w14:paraId="1069D4C0" w14:textId="6B1B3B8A" w:rsidR="00BA098E" w:rsidRPr="00BA098E" w:rsidRDefault="00BA098E" w:rsidP="00B100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BA098E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Додатна литература</w:t>
            </w:r>
          </w:p>
          <w:p w14:paraId="40DBA7AB" w14:textId="076E973F" w:rsidR="00B65B08" w:rsidRDefault="00B1003E" w:rsidP="00B100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03E">
              <w:rPr>
                <w:rFonts w:ascii="Times New Roman" w:eastAsia="Times New Roman" w:hAnsi="Times New Roman"/>
                <w:sz w:val="20"/>
                <w:szCs w:val="20"/>
              </w:rPr>
              <w:t>Cimbaljević, M., Stankov, U., Pavluković, V. (2019): Going beyond the traditional destination competitiveness–reflections on a smart destination in the current research. Current Issues in Tourism, 22(20), 2472-2477.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B1550" w14:textId="4821AAD0" w:rsidR="00707FDC" w:rsidRPr="00313657" w:rsidRDefault="009620C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часова </w:t>
            </w:r>
            <w:r w:rsidR="002146C9"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активне наставе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  <w:r w:rsidR="0031365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135" w:type="dxa"/>
            <w:gridSpan w:val="2"/>
          </w:tcPr>
          <w:p w14:paraId="6FFD6937" w14:textId="4EA2CBD2" w:rsidR="00707FDC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9620C7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9620C7" w:rsidRPr="009620C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495" w:type="dxa"/>
            <w:gridSpan w:val="2"/>
          </w:tcPr>
          <w:p w14:paraId="67BA43F0" w14:textId="56722475" w:rsidR="00707FDC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9620C7" w:rsidRPr="009620C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2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647327B2" w:rsidR="00B65B08" w:rsidRDefault="009620C7" w:rsidP="009620C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9620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2321C3DF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 w:rsidR="009620C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6163FFD3" w:rsidR="00B65B08" w:rsidRDefault="002146C9" w:rsidP="009620C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0E4416D2" w:rsidR="00B65B08" w:rsidRDefault="002146C9" w:rsidP="001413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365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694AA451" w:rsidR="00B65B08" w:rsidRPr="00313657" w:rsidRDefault="001413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3136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77777777" w:rsidR="00B65B08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365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73265F81" w:rsidR="00B65B08" w:rsidRPr="00313657" w:rsidRDefault="0031365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Latn-RS"/>
              </w:rPr>
            </w:pPr>
            <w:r w:rsidRPr="00313657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Latn-RS"/>
              </w:rPr>
              <w:t>/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7777777" w:rsidR="00B65B08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365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77777777" w:rsidR="00B65B08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365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00091">
    <w:abstractNumId w:val="1"/>
  </w:num>
  <w:num w:numId="2" w16cid:durableId="1425035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C5BD4"/>
    <w:rsid w:val="000E182A"/>
    <w:rsid w:val="0011040D"/>
    <w:rsid w:val="00141388"/>
    <w:rsid w:val="00153DE0"/>
    <w:rsid w:val="001A2ADC"/>
    <w:rsid w:val="002078DA"/>
    <w:rsid w:val="002146C9"/>
    <w:rsid w:val="002678B7"/>
    <w:rsid w:val="00275229"/>
    <w:rsid w:val="00275568"/>
    <w:rsid w:val="00313657"/>
    <w:rsid w:val="00341CA0"/>
    <w:rsid w:val="0036496C"/>
    <w:rsid w:val="00424158"/>
    <w:rsid w:val="005E2DE4"/>
    <w:rsid w:val="00707FDC"/>
    <w:rsid w:val="007C29D5"/>
    <w:rsid w:val="009136E3"/>
    <w:rsid w:val="00954073"/>
    <w:rsid w:val="009620C7"/>
    <w:rsid w:val="00963BEA"/>
    <w:rsid w:val="00990E8A"/>
    <w:rsid w:val="00A17519"/>
    <w:rsid w:val="00B1003E"/>
    <w:rsid w:val="00B65B08"/>
    <w:rsid w:val="00BA098E"/>
    <w:rsid w:val="00BB553F"/>
    <w:rsid w:val="00BE5B85"/>
    <w:rsid w:val="00C9249D"/>
    <w:rsid w:val="00C939E4"/>
    <w:rsid w:val="00CF5F68"/>
    <w:rsid w:val="00D53125"/>
    <w:rsid w:val="00E20EEB"/>
    <w:rsid w:val="00E67062"/>
    <w:rsid w:val="00E70BEF"/>
    <w:rsid w:val="00F1643A"/>
    <w:rsid w:val="00F4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BE5B8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B8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75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Vanja%20Pavlukovi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Ugljesa%20Stankov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2023-11-14T20:49:00Z</dcterms:created>
  <dcterms:modified xsi:type="dcterms:W3CDTF">2023-11-14T20:49:00Z</dcterms:modified>
</cp:coreProperties>
</file>