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C26562" w14:textId="77777777" w:rsidR="00F30452" w:rsidRDefault="00F3045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eastAsia="Times New Roman" w:hAnsi="Times New Roman"/>
          <w:color w:val="FF0000"/>
          <w:sz w:val="20"/>
          <w:szCs w:val="20"/>
        </w:rPr>
      </w:pPr>
    </w:p>
    <w:tbl>
      <w:tblPr>
        <w:tblStyle w:val="a0"/>
        <w:tblW w:w="977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46"/>
        <w:gridCol w:w="1960"/>
        <w:gridCol w:w="1175"/>
        <w:gridCol w:w="2048"/>
        <w:gridCol w:w="1447"/>
      </w:tblGrid>
      <w:tr w:rsidR="001E3649" w:rsidRPr="001E3649" w14:paraId="4490564A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45B825D6" w14:textId="77777777" w:rsidR="00F30452" w:rsidRPr="001E3649" w:rsidRDefault="00544A6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</w:pPr>
            <w:r w:rsidRPr="001E3649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Студијски програм: OAС Tуризам</w:t>
            </w:r>
          </w:p>
        </w:tc>
      </w:tr>
      <w:tr w:rsidR="001E3649" w:rsidRPr="001E3649" w14:paraId="0C97800D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704B1CA9" w14:textId="77777777" w:rsidR="00F30452" w:rsidRPr="001E3649" w:rsidRDefault="00544A68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1E3649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 xml:space="preserve">Назив предмета: </w:t>
            </w:r>
            <w:r w:rsidRPr="001E364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Културни туризам</w:t>
            </w:r>
          </w:p>
        </w:tc>
      </w:tr>
      <w:tr w:rsidR="001E3649" w:rsidRPr="001E3649" w14:paraId="57CC0C37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2B18218E" w14:textId="3A994124" w:rsidR="00F30452" w:rsidRPr="001E3649" w:rsidRDefault="00544A6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</w:pPr>
            <w:r w:rsidRPr="001E3649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 xml:space="preserve">Наставник/наставници: </w:t>
            </w:r>
            <w:hyperlink r:id="rId5" w:history="1">
              <w:r w:rsidRPr="00340C78">
                <w:rPr>
                  <w:rStyle w:val="Hyperlink"/>
                  <w:rFonts w:ascii="Times New Roman" w:eastAsia="Times New Roman" w:hAnsi="Times New Roman"/>
                  <w:color w:val="000000" w:themeColor="text1"/>
                  <w:sz w:val="20"/>
                  <w:szCs w:val="20"/>
                  <w:u w:val="none"/>
                </w:rPr>
                <w:t>Татја</w:t>
              </w:r>
              <w:r w:rsidRPr="00340C78">
                <w:rPr>
                  <w:rStyle w:val="Hyperlink"/>
                  <w:rFonts w:ascii="Times New Roman" w:eastAsia="Times New Roman" w:hAnsi="Times New Roman"/>
                  <w:color w:val="000000" w:themeColor="text1"/>
                  <w:sz w:val="20"/>
                  <w:szCs w:val="20"/>
                  <w:u w:val="none"/>
                </w:rPr>
                <w:t>н</w:t>
              </w:r>
              <w:r w:rsidRPr="00340C78">
                <w:rPr>
                  <w:rStyle w:val="Hyperlink"/>
                  <w:rFonts w:ascii="Times New Roman" w:eastAsia="Times New Roman" w:hAnsi="Times New Roman"/>
                  <w:color w:val="000000" w:themeColor="text1"/>
                  <w:sz w:val="20"/>
                  <w:szCs w:val="20"/>
                  <w:u w:val="none"/>
                </w:rPr>
                <w:t>а Пивац</w:t>
              </w:r>
            </w:hyperlink>
          </w:p>
        </w:tc>
      </w:tr>
      <w:tr w:rsidR="001E3649" w:rsidRPr="001E3649" w14:paraId="1F0B6607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49FD8CB2" w14:textId="77777777" w:rsidR="00F30452" w:rsidRPr="001E3649" w:rsidRDefault="00544A6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1E3649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 xml:space="preserve">Статус предмета: </w:t>
            </w:r>
            <w:r w:rsidRPr="001E364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изборни</w:t>
            </w:r>
            <w:r w:rsidR="00DB3251" w:rsidRPr="001E364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(Т, ЛT)</w:t>
            </w:r>
          </w:p>
        </w:tc>
      </w:tr>
      <w:tr w:rsidR="001E3649" w:rsidRPr="001E3649" w14:paraId="5FAA9205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1355DA76" w14:textId="77777777" w:rsidR="00F30452" w:rsidRPr="001E3649" w:rsidRDefault="00544A6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1E3649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 xml:space="preserve">Број ЕСПБ: </w:t>
            </w:r>
            <w:r w:rsidRPr="001E364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5</w:t>
            </w:r>
          </w:p>
        </w:tc>
      </w:tr>
      <w:tr w:rsidR="001E3649" w:rsidRPr="001E3649" w14:paraId="6D692B5B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2DB0A9A7" w14:textId="77777777" w:rsidR="00F30452" w:rsidRPr="001E3649" w:rsidRDefault="00544A6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1E3649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 xml:space="preserve">Услов: </w:t>
            </w:r>
            <w:r w:rsidRPr="001E364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нема</w:t>
            </w:r>
          </w:p>
        </w:tc>
      </w:tr>
      <w:tr w:rsidR="001E3649" w:rsidRPr="001E3649" w14:paraId="1AA8B052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76B12B08" w14:textId="77777777" w:rsidR="00F30452" w:rsidRPr="001E3649" w:rsidRDefault="00544A6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</w:pPr>
            <w:r w:rsidRPr="001E3649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Циљ предмета</w:t>
            </w:r>
          </w:p>
          <w:p w14:paraId="05CCBE2E" w14:textId="77777777" w:rsidR="00F30452" w:rsidRPr="001E3649" w:rsidRDefault="00544A68">
            <w:p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1E364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Циљ предмета је да студент стекне базична знања из културног туризма, укључујући разне облике културног туризма, маркетинг у културном туризму и одрживи развој културног туризма.</w:t>
            </w:r>
          </w:p>
        </w:tc>
      </w:tr>
      <w:tr w:rsidR="001E3649" w:rsidRPr="001E3649" w14:paraId="56C1A39B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548109D0" w14:textId="77777777" w:rsidR="00F30452" w:rsidRPr="001E3649" w:rsidRDefault="00544A6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</w:pPr>
            <w:r w:rsidRPr="001E3649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 xml:space="preserve">Исход предмета </w:t>
            </w:r>
          </w:p>
          <w:p w14:paraId="75624A19" w14:textId="77777777" w:rsidR="00F30452" w:rsidRPr="001E3649" w:rsidRDefault="00544A68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1E364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Након </w:t>
            </w:r>
            <w:r w:rsidR="00DB3251" w:rsidRPr="001E364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завршеног курса</w:t>
            </w:r>
            <w:r w:rsidRPr="001E364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, студент ће </w:t>
            </w:r>
            <w:r w:rsidR="00DB3251" w:rsidRPr="001E364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моћи допринети</w:t>
            </w:r>
            <w:r w:rsidRPr="001E364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развоју културног туризма на дестинацији, успостављањем сарадње између културног и туристичког сектора, формирањем веб презентације дестинације која ће садржавати линкове са културним институцијама на дестинацији, израдом штампаних промотивних материјала који ће афирмисати антропогене вредности на дестинацији и учешћем у раду културних установа, сагледавајући специфичне потребе одређених туристичких сегмената који посећују културну установу.</w:t>
            </w:r>
          </w:p>
        </w:tc>
      </w:tr>
      <w:tr w:rsidR="001E3649" w:rsidRPr="001E3649" w14:paraId="6703E2F9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5DAE5B55" w14:textId="77777777" w:rsidR="00F30452" w:rsidRPr="001E3649" w:rsidRDefault="00544A6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</w:pPr>
            <w:r w:rsidRPr="001E3649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Садржај предмета</w:t>
            </w:r>
          </w:p>
          <w:p w14:paraId="04F2A68C" w14:textId="77777777" w:rsidR="00F30452" w:rsidRPr="001E3649" w:rsidRDefault="00544A6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color w:val="000000" w:themeColor="text1"/>
                <w:sz w:val="20"/>
                <w:szCs w:val="20"/>
              </w:rPr>
            </w:pPr>
            <w:r w:rsidRPr="001E3649">
              <w:rPr>
                <w:rFonts w:ascii="Times New Roman" w:eastAsia="Times New Roman" w:hAnsi="Times New Roman"/>
                <w:i/>
                <w:color w:val="000000" w:themeColor="text1"/>
                <w:sz w:val="20"/>
                <w:szCs w:val="20"/>
              </w:rPr>
              <w:t>Теоријска настава</w:t>
            </w:r>
          </w:p>
          <w:p w14:paraId="6BEBF417" w14:textId="77777777" w:rsidR="00F30452" w:rsidRPr="001E3649" w:rsidRDefault="00544A68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1E364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Појмовно одређивање културног туризма. Класификација културних добара. Типологија културних туриста. Врсте културног туризма. Развој културног туризма у Европи. Европске престонице културе. Маркетинг у културном туризму. Одрживи развој културног туризма. Значај културно-туристичке иницијативе за развој културног туризма. Планирање догађаја.</w:t>
            </w:r>
          </w:p>
          <w:p w14:paraId="56000F24" w14:textId="77777777" w:rsidR="00F30452" w:rsidRPr="001E3649" w:rsidRDefault="00544A6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color w:val="000000" w:themeColor="text1"/>
                <w:sz w:val="20"/>
                <w:szCs w:val="20"/>
              </w:rPr>
            </w:pPr>
            <w:r w:rsidRPr="001E3649">
              <w:rPr>
                <w:rFonts w:ascii="Times New Roman" w:eastAsia="Times New Roman" w:hAnsi="Times New Roman"/>
                <w:i/>
                <w:color w:val="000000" w:themeColor="text1"/>
                <w:sz w:val="20"/>
                <w:szCs w:val="20"/>
              </w:rPr>
              <w:t xml:space="preserve">Практична настава </w:t>
            </w:r>
          </w:p>
          <w:p w14:paraId="5B51AA6C" w14:textId="77777777" w:rsidR="00F30452" w:rsidRPr="001E3649" w:rsidRDefault="00284FF9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1E364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Током трајања курса, с</w:t>
            </w:r>
            <w:r w:rsidR="00DB3251" w:rsidRPr="001E364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туденти ће </w:t>
            </w:r>
            <w:r w:rsidRPr="001E364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требати</w:t>
            </w:r>
            <w:r w:rsidR="00DB3251" w:rsidRPr="001E364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1E364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да </w:t>
            </w:r>
            <w:r w:rsidR="00DB3251" w:rsidRPr="001E364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реализују два практична задатка. Први задатак је да креирају дигиталну причу из сфере културног туризма на одређену тему (избор може да буде нпр.</w:t>
            </w:r>
            <w:r w:rsidRPr="001E364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="00DB3251" w:rsidRPr="001E364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споменик културно историјског значаја, установа културе, културна манифестација и сл.) и да је</w:t>
            </w:r>
            <w:r w:rsidRPr="001E364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дистрибуирају применом дигиталних алата и медија. Други практични задатак је storytelling – осмишљавање и креирање градске туре. Циљ овог задатка је да студенти развију вештину презентације културно-историјског наслеђа.</w:t>
            </w:r>
          </w:p>
        </w:tc>
      </w:tr>
      <w:tr w:rsidR="001E3649" w:rsidRPr="001E3649" w14:paraId="30A7FBA8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1B276052" w14:textId="77777777" w:rsidR="00F30452" w:rsidRPr="001E3649" w:rsidRDefault="00544A6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</w:pPr>
            <w:r w:rsidRPr="001E3649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 xml:space="preserve">Литература </w:t>
            </w:r>
          </w:p>
          <w:p w14:paraId="50A6F8EA" w14:textId="77777777" w:rsidR="00F30452" w:rsidRPr="001E3649" w:rsidRDefault="00544A6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1E364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Hadžić, O., Nedeljković-Knežević, M., Pivac, T. (2018): Održivi razvoj menadžmenta kulturnog turizma – stejkholderski pristup, Prirodno-matematički fakultet, Departman za geografiju, turizam i hotelijerstvo, Novi Sad, monografija.</w:t>
            </w:r>
          </w:p>
        </w:tc>
      </w:tr>
      <w:tr w:rsidR="001E3649" w:rsidRPr="001E3649" w14:paraId="2D22DCE2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376E1CEC" w14:textId="77777777" w:rsidR="00F30452" w:rsidRPr="001E3649" w:rsidRDefault="00544A6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</w:pPr>
            <w:r w:rsidRPr="001E3649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Број часова  активне наставе: 4</w:t>
            </w:r>
          </w:p>
          <w:p w14:paraId="165848C0" w14:textId="77777777" w:rsidR="00F30452" w:rsidRPr="001E3649" w:rsidRDefault="00F3045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135" w:type="dxa"/>
            <w:gridSpan w:val="2"/>
          </w:tcPr>
          <w:p w14:paraId="53EBBE5F" w14:textId="77777777" w:rsidR="00F30452" w:rsidRPr="001E3649" w:rsidRDefault="00544A6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1E3649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 xml:space="preserve">Теоријска настава: </w:t>
            </w:r>
            <w:r w:rsidRPr="001E364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3495" w:type="dxa"/>
            <w:gridSpan w:val="2"/>
          </w:tcPr>
          <w:p w14:paraId="15F32D70" w14:textId="77777777" w:rsidR="00F30452" w:rsidRPr="001E3649" w:rsidRDefault="00544A6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1E3649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 xml:space="preserve">Практична настава: </w:t>
            </w:r>
            <w:r w:rsidRPr="001E364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</w:t>
            </w:r>
          </w:p>
        </w:tc>
      </w:tr>
      <w:tr w:rsidR="001E3649" w:rsidRPr="001E3649" w14:paraId="6BB67A4E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2D80909C" w14:textId="77777777" w:rsidR="00F30452" w:rsidRPr="001E3649" w:rsidRDefault="00544A6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</w:pPr>
            <w:r w:rsidRPr="001E3649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Методе извођења наставе</w:t>
            </w:r>
          </w:p>
          <w:p w14:paraId="38388797" w14:textId="77777777" w:rsidR="00F30452" w:rsidRPr="001E3649" w:rsidRDefault="00544A68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1E364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а) метода усменог излагања; б) метода визуелне презентације; ц) метода разговора; д) текстуална метода е) илустративно-демонстративне методе (Претраживање интернета и стандардне библиотечке документације, по дефинисаним темама).</w:t>
            </w:r>
          </w:p>
        </w:tc>
      </w:tr>
      <w:tr w:rsidR="001E3649" w:rsidRPr="001E3649" w14:paraId="68D71066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527EE2FE" w14:textId="77777777" w:rsidR="00F30452" w:rsidRPr="001E3649" w:rsidRDefault="00544A6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</w:pPr>
            <w:r w:rsidRPr="001E3649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Оцена  знања (максимални број поена 100)</w:t>
            </w:r>
            <w:r w:rsidRPr="001E364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1E3649" w:rsidRPr="001E3649" w14:paraId="5DA8EC82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1D9D0900" w14:textId="77777777" w:rsidR="00F30452" w:rsidRPr="001E3649" w:rsidRDefault="00544A6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</w:pPr>
            <w:r w:rsidRPr="001E3649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Предиспитне обавезе</w:t>
            </w:r>
          </w:p>
        </w:tc>
        <w:tc>
          <w:tcPr>
            <w:tcW w:w="1960" w:type="dxa"/>
            <w:vAlign w:val="center"/>
          </w:tcPr>
          <w:p w14:paraId="2C6F06B7" w14:textId="77777777" w:rsidR="00F30452" w:rsidRPr="001E3649" w:rsidRDefault="00544A6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1E364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поена 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3A61596C" w14:textId="77777777" w:rsidR="00F30452" w:rsidRPr="001E3649" w:rsidRDefault="00544A6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</w:pPr>
            <w:r w:rsidRPr="001E3649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 xml:space="preserve">Завршни испит </w:t>
            </w:r>
            <w:r w:rsidRPr="001E364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(може бити један или наведена оба)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43B04DE4" w14:textId="77777777" w:rsidR="00F30452" w:rsidRPr="001E3649" w:rsidRDefault="00F3045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1E3649" w:rsidRPr="001E3649" w14:paraId="3ED886BD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34861869" w14:textId="77777777" w:rsidR="00F30452" w:rsidRPr="001E3649" w:rsidRDefault="00544A6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color w:val="000000" w:themeColor="text1"/>
                <w:sz w:val="20"/>
                <w:szCs w:val="20"/>
              </w:rPr>
            </w:pPr>
            <w:r w:rsidRPr="001E364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активност у току предавања</w:t>
            </w:r>
          </w:p>
        </w:tc>
        <w:tc>
          <w:tcPr>
            <w:tcW w:w="1960" w:type="dxa"/>
            <w:vAlign w:val="center"/>
          </w:tcPr>
          <w:p w14:paraId="17633E2D" w14:textId="77777777" w:rsidR="00F30452" w:rsidRPr="001E3649" w:rsidRDefault="00544A6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</w:pPr>
            <w:r w:rsidRPr="001E3649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55550981" w14:textId="77777777" w:rsidR="00F30452" w:rsidRPr="001E3649" w:rsidRDefault="00544A6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color w:val="000000" w:themeColor="text1"/>
                <w:sz w:val="20"/>
                <w:szCs w:val="20"/>
              </w:rPr>
            </w:pPr>
            <w:r w:rsidRPr="001E364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писмени испит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3A5A8CCE" w14:textId="77777777" w:rsidR="00F30452" w:rsidRPr="001E3649" w:rsidRDefault="00544A6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</w:pPr>
            <w:r w:rsidRPr="001E3649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/</w:t>
            </w:r>
          </w:p>
        </w:tc>
      </w:tr>
      <w:tr w:rsidR="001E3649" w:rsidRPr="001E3649" w14:paraId="79560890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13B5DA94" w14:textId="77777777" w:rsidR="00F30452" w:rsidRPr="001E3649" w:rsidRDefault="00544A6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color w:val="000000" w:themeColor="text1"/>
                <w:sz w:val="20"/>
                <w:szCs w:val="20"/>
              </w:rPr>
            </w:pPr>
            <w:r w:rsidRPr="001E364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активности у току вежби / практична настава</w:t>
            </w:r>
          </w:p>
        </w:tc>
        <w:tc>
          <w:tcPr>
            <w:tcW w:w="1960" w:type="dxa"/>
            <w:vAlign w:val="center"/>
          </w:tcPr>
          <w:p w14:paraId="428F120B" w14:textId="77777777" w:rsidR="00F30452" w:rsidRPr="001E3649" w:rsidRDefault="00544A6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</w:pPr>
            <w:r w:rsidRPr="001E3649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05B40545" w14:textId="77777777" w:rsidR="00F30452" w:rsidRPr="001E3649" w:rsidRDefault="00544A6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color w:val="000000" w:themeColor="text1"/>
                <w:sz w:val="20"/>
                <w:szCs w:val="20"/>
              </w:rPr>
            </w:pPr>
            <w:r w:rsidRPr="001E364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усмени испит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663AD04D" w14:textId="77777777" w:rsidR="00F30452" w:rsidRPr="001E3649" w:rsidRDefault="00544A6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</w:pPr>
            <w:r w:rsidRPr="001E3649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40</w:t>
            </w:r>
          </w:p>
        </w:tc>
      </w:tr>
      <w:tr w:rsidR="001E3649" w:rsidRPr="001E3649" w14:paraId="20948BBF" w14:textId="77777777">
        <w:trPr>
          <w:trHeight w:val="490"/>
          <w:jc w:val="center"/>
        </w:trPr>
        <w:tc>
          <w:tcPr>
            <w:tcW w:w="3146" w:type="dxa"/>
            <w:vAlign w:val="center"/>
          </w:tcPr>
          <w:p w14:paraId="74938068" w14:textId="77777777" w:rsidR="00F30452" w:rsidRPr="001E3649" w:rsidRDefault="00544A6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color w:val="000000" w:themeColor="text1"/>
                <w:sz w:val="20"/>
                <w:szCs w:val="20"/>
              </w:rPr>
            </w:pPr>
            <w:r w:rsidRPr="001E364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колоквијум-и</w:t>
            </w:r>
          </w:p>
        </w:tc>
        <w:tc>
          <w:tcPr>
            <w:tcW w:w="1960" w:type="dxa"/>
            <w:vAlign w:val="center"/>
          </w:tcPr>
          <w:p w14:paraId="59B21EF9" w14:textId="77777777" w:rsidR="00F30452" w:rsidRPr="001E3649" w:rsidRDefault="00544A6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</w:pPr>
            <w:r w:rsidRPr="001E3649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215B26C7" w14:textId="77777777" w:rsidR="00F30452" w:rsidRPr="001E3649" w:rsidRDefault="00544A6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color w:val="000000" w:themeColor="text1"/>
                <w:sz w:val="20"/>
                <w:szCs w:val="20"/>
              </w:rPr>
            </w:pPr>
            <w:r w:rsidRPr="001E3649">
              <w:rPr>
                <w:rFonts w:ascii="Times New Roman" w:eastAsia="Times New Roman" w:hAnsi="Times New Roman"/>
                <w:i/>
                <w:color w:val="000000" w:themeColor="text1"/>
                <w:sz w:val="20"/>
                <w:szCs w:val="20"/>
              </w:rPr>
              <w:t>..........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40EB5E7C" w14:textId="77777777" w:rsidR="00F30452" w:rsidRPr="001E3649" w:rsidRDefault="00F3045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color w:val="000000" w:themeColor="text1"/>
                <w:sz w:val="20"/>
                <w:szCs w:val="20"/>
              </w:rPr>
            </w:pPr>
          </w:p>
        </w:tc>
      </w:tr>
      <w:tr w:rsidR="001E3649" w:rsidRPr="001E3649" w14:paraId="67150676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7DC1E9E9" w14:textId="77777777" w:rsidR="00F30452" w:rsidRPr="001E3649" w:rsidRDefault="00544A6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1E364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семинар-и</w:t>
            </w:r>
          </w:p>
        </w:tc>
        <w:tc>
          <w:tcPr>
            <w:tcW w:w="1960" w:type="dxa"/>
            <w:vAlign w:val="center"/>
          </w:tcPr>
          <w:p w14:paraId="13379372" w14:textId="77777777" w:rsidR="00F30452" w:rsidRPr="001E3649" w:rsidRDefault="00544A6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</w:pPr>
            <w:r w:rsidRPr="001E3649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5620435F" w14:textId="77777777" w:rsidR="00F30452" w:rsidRPr="001E3649" w:rsidRDefault="00F3045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447" w:type="dxa"/>
            <w:shd w:val="clear" w:color="auto" w:fill="auto"/>
            <w:vAlign w:val="center"/>
          </w:tcPr>
          <w:p w14:paraId="2EC56DE0" w14:textId="77777777" w:rsidR="00F30452" w:rsidRPr="001E3649" w:rsidRDefault="00F3045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color w:val="000000" w:themeColor="text1"/>
                <w:sz w:val="20"/>
                <w:szCs w:val="20"/>
              </w:rPr>
            </w:pPr>
          </w:p>
        </w:tc>
      </w:tr>
    </w:tbl>
    <w:p w14:paraId="2CA5BFC6" w14:textId="77777777" w:rsidR="00F30452" w:rsidRDefault="00F30452">
      <w:pPr>
        <w:rPr>
          <w:rFonts w:ascii="Times New Roman" w:eastAsia="Times New Roman" w:hAnsi="Times New Roman"/>
          <w:sz w:val="20"/>
          <w:szCs w:val="20"/>
        </w:rPr>
      </w:pPr>
    </w:p>
    <w:sectPr w:rsidR="00F30452" w:rsidSect="00177C81">
      <w:pgSz w:w="11906" w:h="16838"/>
      <w:pgMar w:top="1134" w:right="1134" w:bottom="1134" w:left="1134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2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0452"/>
    <w:rsid w:val="00177C81"/>
    <w:rsid w:val="001E3649"/>
    <w:rsid w:val="00284FF9"/>
    <w:rsid w:val="00340C78"/>
    <w:rsid w:val="00544A68"/>
    <w:rsid w:val="0079702F"/>
    <w:rsid w:val="00DB3251"/>
    <w:rsid w:val="00F30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527AEC2"/>
  <w15:docId w15:val="{C8F9BD57-7AA5-3A46-9577-8709F7B84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sr-Cyrl-C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50E4"/>
    <w:rPr>
      <w:rFonts w:cs="Times New Roman"/>
    </w:rPr>
  </w:style>
  <w:style w:type="paragraph" w:styleId="Heading1">
    <w:name w:val="heading 1"/>
    <w:basedOn w:val="Normal"/>
    <w:next w:val="Normal"/>
    <w:uiPriority w:val="9"/>
    <w:qFormat/>
    <w:rsid w:val="00177C81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rsid w:val="00177C81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rsid w:val="00177C81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rsid w:val="00177C81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rsid w:val="00177C81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rsid w:val="00177C81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rsid w:val="00177C81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rsid w:val="00177C81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177C81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ListParagraph">
    <w:name w:val="List Paragraph"/>
    <w:basedOn w:val="Normal"/>
    <w:uiPriority w:val="34"/>
    <w:qFormat/>
    <w:rsid w:val="00424158"/>
    <w:pPr>
      <w:spacing w:after="160" w:line="259" w:lineRule="auto"/>
      <w:ind w:left="720"/>
      <w:contextualSpacing/>
    </w:pPr>
    <w:rPr>
      <w:lang w:val="en-US"/>
    </w:rPr>
  </w:style>
  <w:style w:type="table" w:customStyle="1" w:styleId="a0">
    <w:basedOn w:val="TableNormal"/>
    <w:rsid w:val="00177C81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Hyperlink">
    <w:name w:val="Hyperlink"/>
    <w:basedOn w:val="DefaultParagraphFont"/>
    <w:uiPriority w:val="99"/>
    <w:unhideWhenUsed/>
    <w:rsid w:val="0079702F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9702F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340C7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../../Standard%209/Tabela%209.1a%20-%20Knjiga%20nastavnika/Tatjana%20Pivac.doc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lVvHOufARMds28eRmL7IrDp1Ymg==">CgMxLjAyCGguZ2pkZ3hzOAByITFybFROemI1ajVFaW5Pd3M2anc2SF9LTWM0Y0liVjMwbg==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406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Ljubica Ivanović Bibić</dc:creator>
  <cp:lastModifiedBy>Miroslav Vujičić</cp:lastModifiedBy>
  <cp:revision>2</cp:revision>
  <dcterms:created xsi:type="dcterms:W3CDTF">2023-11-14T20:47:00Z</dcterms:created>
  <dcterms:modified xsi:type="dcterms:W3CDTF">2023-11-14T20:47:00Z</dcterms:modified>
</cp:coreProperties>
</file>