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3E372" w14:textId="77777777" w:rsidR="00D17D3F" w:rsidRDefault="00D17D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D17D3F" w14:paraId="0DD8294D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179845F" w14:textId="06AFA8FB" w:rsidR="00D17D3F" w:rsidRPr="00BF6937" w:rsidRDefault="00277D52">
            <w:pPr>
              <w:tabs>
                <w:tab w:val="left" w:pos="567"/>
              </w:tabs>
              <w:ind w:left="0" w:hanging="2"/>
              <w:rPr>
                <w:lang w:val="sr-Cyrl-RS"/>
              </w:rPr>
            </w:pPr>
            <w:r>
              <w:rPr>
                <w:b/>
              </w:rPr>
              <w:t xml:space="preserve">Студијски програм: </w:t>
            </w:r>
            <w:r w:rsidR="00BF6937">
              <w:rPr>
                <w:color w:val="000000" w:themeColor="text1"/>
                <w:lang w:val="sr-Cyrl-RS"/>
              </w:rPr>
              <w:t>ОАС Туризам</w:t>
            </w:r>
          </w:p>
        </w:tc>
      </w:tr>
      <w:tr w:rsidR="00D17D3F" w14:paraId="16D7F462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8B51AF5" w14:textId="77777777" w:rsidR="00D17D3F" w:rsidRDefault="00277D52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 xml:space="preserve">Назив предмета: Теренска настава 2т </w:t>
            </w:r>
          </w:p>
        </w:tc>
      </w:tr>
      <w:tr w:rsidR="00D17D3F" w14:paraId="739A6B91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5C72319" w14:textId="3149FA94" w:rsidR="00D17D3F" w:rsidRPr="00BF6937" w:rsidRDefault="00277D52">
            <w:pPr>
              <w:tabs>
                <w:tab w:val="left" w:pos="567"/>
              </w:tabs>
              <w:ind w:left="0" w:hanging="2"/>
              <w:rPr>
                <w:lang w:val="sr-Cyrl-RS"/>
              </w:rPr>
            </w:pPr>
            <w:r>
              <w:rPr>
                <w:b/>
              </w:rPr>
              <w:t xml:space="preserve">Наставник: </w:t>
            </w:r>
            <w:hyperlink r:id="rId6" w:history="1">
              <w:r w:rsidR="00BF6937" w:rsidRPr="00297342">
                <w:rPr>
                  <w:rStyle w:val="Hyperlink"/>
                  <w:lang w:val="sr-Cyrl-RS"/>
                </w:rPr>
                <w:t>Александра Драгин</w:t>
              </w:r>
            </w:hyperlink>
            <w:r w:rsidR="00BF6937" w:rsidRPr="00BF6937">
              <w:rPr>
                <w:color w:val="000000" w:themeColor="text1"/>
                <w:lang w:val="sr-Cyrl-RS"/>
              </w:rPr>
              <w:t xml:space="preserve"> и </w:t>
            </w:r>
            <w:hyperlink r:id="rId7" w:history="1">
              <w:r w:rsidR="00BF6937" w:rsidRPr="00297342">
                <w:rPr>
                  <w:rStyle w:val="Hyperlink"/>
                  <w:lang w:val="sr-Cyrl-RS"/>
                </w:rPr>
                <w:t>Татјана Пивац</w:t>
              </w:r>
            </w:hyperlink>
          </w:p>
        </w:tc>
      </w:tr>
      <w:tr w:rsidR="00D17D3F" w14:paraId="37912AE7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61D92B0" w14:textId="77777777" w:rsidR="00D17D3F" w:rsidRDefault="00277D52" w:rsidP="008F2F08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 xml:space="preserve">Статус предмета: </w:t>
            </w:r>
            <w:r>
              <w:t>Обавезан предмет за модул Т</w:t>
            </w:r>
          </w:p>
        </w:tc>
      </w:tr>
      <w:tr w:rsidR="00D17D3F" w14:paraId="27145B6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727A5E6" w14:textId="77777777" w:rsidR="00D17D3F" w:rsidRDefault="00277D52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D17D3F" w14:paraId="5BFA66A8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304032B" w14:textId="77777777" w:rsidR="00D17D3F" w:rsidRDefault="00277D52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 xml:space="preserve">Услов: </w:t>
            </w:r>
            <w:r>
              <w:t>Нема</w:t>
            </w:r>
          </w:p>
        </w:tc>
      </w:tr>
      <w:tr w:rsidR="00D17D3F" w14:paraId="26F0E343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041134C" w14:textId="77777777" w:rsidR="00D17D3F" w:rsidRDefault="00277D52">
            <w:pPr>
              <w:tabs>
                <w:tab w:val="left" w:pos="567"/>
              </w:tabs>
              <w:ind w:left="0" w:hanging="2"/>
              <w:jc w:val="both"/>
            </w:pPr>
            <w:r>
              <w:rPr>
                <w:b/>
              </w:rPr>
              <w:t>Циљ предмета</w:t>
            </w:r>
          </w:p>
          <w:p w14:paraId="4B8E2366" w14:textId="77777777" w:rsidR="00D17D3F" w:rsidRDefault="00277D52">
            <w:pPr>
              <w:tabs>
                <w:tab w:val="left" w:pos="567"/>
              </w:tabs>
              <w:ind w:left="0" w:hanging="2"/>
              <w:jc w:val="both"/>
            </w:pPr>
            <w:r>
              <w:t>Студенти треба да се непосредно упознају са основним природним елементима и друштвеним актрактивностима кључним за развој туризама у Србији. Реализацијом овог предмета тежи се да студенти обједине и повежу знања са становишта различитих теоријских предмета са доступним примерима које ће непосредно видети у току обилазака на терену. Посебан циљ је упознавање са актуелним стањем и димензијом привредног развоја у туристичкој делатности.</w:t>
            </w:r>
          </w:p>
        </w:tc>
      </w:tr>
      <w:tr w:rsidR="00D17D3F" w14:paraId="331E8E6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24B47B4" w14:textId="77777777" w:rsidR="00D17D3F" w:rsidRPr="006B4059" w:rsidRDefault="00277D52">
            <w:pPr>
              <w:tabs>
                <w:tab w:val="left" w:pos="567"/>
              </w:tabs>
              <w:ind w:left="0" w:hanging="2"/>
              <w:jc w:val="both"/>
              <w:rPr>
                <w:color w:val="000000" w:themeColor="text1"/>
              </w:rPr>
            </w:pPr>
            <w:r w:rsidRPr="006B4059">
              <w:rPr>
                <w:b/>
                <w:color w:val="000000" w:themeColor="text1"/>
              </w:rPr>
              <w:t xml:space="preserve">Исход предмета </w:t>
            </w:r>
          </w:p>
          <w:p w14:paraId="1D0A6703" w14:textId="77777777" w:rsidR="00D17D3F" w:rsidRPr="006B4059" w:rsidRDefault="00277D52" w:rsidP="006F4F35">
            <w:pPr>
              <w:tabs>
                <w:tab w:val="left" w:pos="567"/>
              </w:tabs>
              <w:ind w:left="0" w:hanging="2"/>
              <w:jc w:val="both"/>
              <w:rPr>
                <w:color w:val="000000" w:themeColor="text1"/>
              </w:rPr>
            </w:pPr>
            <w:r w:rsidRPr="006B4059">
              <w:rPr>
                <w:color w:val="000000" w:themeColor="text1"/>
              </w:rPr>
              <w:t>Студенти директн</w:t>
            </w:r>
            <w:r w:rsidR="006F4F35" w:rsidRPr="006B4059">
              <w:rPr>
                <w:color w:val="000000" w:themeColor="text1"/>
              </w:rPr>
              <w:t>им</w:t>
            </w:r>
            <w:r w:rsidRPr="006B4059">
              <w:rPr>
                <w:color w:val="000000" w:themeColor="text1"/>
              </w:rPr>
              <w:t xml:space="preserve"> учеств</w:t>
            </w:r>
            <w:r w:rsidR="006F4F35" w:rsidRPr="006B4059">
              <w:rPr>
                <w:color w:val="000000" w:themeColor="text1"/>
              </w:rPr>
              <w:t>овањем</w:t>
            </w:r>
            <w:r w:rsidRPr="006B4059">
              <w:rPr>
                <w:color w:val="000000" w:themeColor="text1"/>
              </w:rPr>
              <w:t xml:space="preserve"> у теренском раду, односно обиласцима одређених дестинација, локалитета, објеката и организација</w:t>
            </w:r>
            <w:r w:rsidR="006F4F35" w:rsidRPr="006B4059">
              <w:rPr>
                <w:color w:val="000000" w:themeColor="text1"/>
              </w:rPr>
              <w:t xml:space="preserve"> у</w:t>
            </w:r>
            <w:r w:rsidRPr="006B4059">
              <w:rPr>
                <w:color w:val="000000" w:themeColor="text1"/>
              </w:rPr>
              <w:t xml:space="preserve">че вештине рада са групом и излагања у аутобусу као </w:t>
            </w:r>
            <w:r w:rsidR="007D2339" w:rsidRPr="006B4059">
              <w:rPr>
                <w:color w:val="000000" w:themeColor="text1"/>
              </w:rPr>
              <w:t>туристички</w:t>
            </w:r>
            <w:r w:rsidR="006F4F35" w:rsidRPr="006B4059">
              <w:rPr>
                <w:color w:val="000000" w:themeColor="text1"/>
              </w:rPr>
              <w:t xml:space="preserve"> </w:t>
            </w:r>
            <w:r w:rsidRPr="006B4059">
              <w:rPr>
                <w:color w:val="000000" w:themeColor="text1"/>
              </w:rPr>
              <w:t>водичи. На тај начин обједињују теоријска знања стечена на настави</w:t>
            </w:r>
            <w:r w:rsidR="007D2339" w:rsidRPr="006B4059">
              <w:rPr>
                <w:color w:val="000000" w:themeColor="text1"/>
              </w:rPr>
              <w:t>, у учионици,</w:t>
            </w:r>
            <w:r w:rsidRPr="006B4059">
              <w:rPr>
                <w:color w:val="000000" w:themeColor="text1"/>
              </w:rPr>
              <w:t xml:space="preserve"> са практичним ситуацијама на терену</w:t>
            </w:r>
            <w:r w:rsidR="006F4F35" w:rsidRPr="006B4059">
              <w:rPr>
                <w:color w:val="000000" w:themeColor="text1"/>
              </w:rPr>
              <w:t>. Након завршеног курса, студенти су о</w:t>
            </w:r>
            <w:r w:rsidRPr="006B4059">
              <w:rPr>
                <w:color w:val="000000" w:themeColor="text1"/>
              </w:rPr>
              <w:t>способљ</w:t>
            </w:r>
            <w:r w:rsidR="006F4F35" w:rsidRPr="006B4059">
              <w:rPr>
                <w:color w:val="000000" w:themeColor="text1"/>
              </w:rPr>
              <w:t>ени</w:t>
            </w:r>
            <w:r w:rsidRPr="006B4059">
              <w:rPr>
                <w:color w:val="000000" w:themeColor="text1"/>
              </w:rPr>
              <w:t xml:space="preserve"> да раде са различитим носиоцима туристичке понуде</w:t>
            </w:r>
            <w:r w:rsidR="006F4F35" w:rsidRPr="006B4059">
              <w:rPr>
                <w:color w:val="000000" w:themeColor="text1"/>
              </w:rPr>
              <w:t xml:space="preserve"> на терену.</w:t>
            </w:r>
          </w:p>
        </w:tc>
      </w:tr>
      <w:tr w:rsidR="00D17D3F" w14:paraId="4DA4C532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64A95C9" w14:textId="77777777" w:rsidR="00D17D3F" w:rsidRPr="006B4059" w:rsidRDefault="00277D52">
            <w:pPr>
              <w:tabs>
                <w:tab w:val="left" w:pos="567"/>
              </w:tabs>
              <w:ind w:left="0" w:hanging="2"/>
              <w:rPr>
                <w:color w:val="000000" w:themeColor="text1"/>
              </w:rPr>
            </w:pPr>
            <w:r w:rsidRPr="006B4059">
              <w:rPr>
                <w:b/>
                <w:color w:val="000000" w:themeColor="text1"/>
              </w:rPr>
              <w:t>Садржај предмета</w:t>
            </w:r>
          </w:p>
          <w:p w14:paraId="6660FD9C" w14:textId="77777777" w:rsidR="00D17D3F" w:rsidRPr="006B4059" w:rsidRDefault="00277D52">
            <w:pPr>
              <w:tabs>
                <w:tab w:val="left" w:pos="567"/>
              </w:tabs>
              <w:ind w:left="0" w:hanging="2"/>
              <w:rPr>
                <w:color w:val="000000" w:themeColor="text1"/>
              </w:rPr>
            </w:pPr>
            <w:r w:rsidRPr="006B4059">
              <w:rPr>
                <w:i/>
                <w:color w:val="000000" w:themeColor="text1"/>
              </w:rPr>
              <w:t>Теоријска настава</w:t>
            </w:r>
          </w:p>
          <w:p w14:paraId="31EE2F5A" w14:textId="77777777" w:rsidR="00D17D3F" w:rsidRPr="006B4059" w:rsidRDefault="00277D52">
            <w:pPr>
              <w:ind w:left="0" w:hanging="2"/>
              <w:jc w:val="both"/>
              <w:rPr>
                <w:color w:val="000000" w:themeColor="text1"/>
              </w:rPr>
            </w:pPr>
            <w:r w:rsidRPr="006B4059">
              <w:rPr>
                <w:color w:val="000000" w:themeColor="text1"/>
              </w:rPr>
              <w:t xml:space="preserve">Туристичко место (локалитет) чини специфичан комплекс природних и антропогених вредности, као и материјална основа туризма. </w:t>
            </w:r>
            <w:r w:rsidR="007D2339" w:rsidRPr="006B4059">
              <w:rPr>
                <w:color w:val="000000" w:themeColor="text1"/>
              </w:rPr>
              <w:t>На</w:t>
            </w:r>
            <w:r w:rsidRPr="006B4059">
              <w:rPr>
                <w:color w:val="000000" w:themeColor="text1"/>
              </w:rPr>
              <w:t xml:space="preserve"> теренским вежбама студенти се конкретно упознају са специфичностима туристичких места</w:t>
            </w:r>
            <w:r w:rsidR="007D2339" w:rsidRPr="006B4059">
              <w:rPr>
                <w:color w:val="000000" w:themeColor="text1"/>
              </w:rPr>
              <w:t>, на лицу места,</w:t>
            </w:r>
            <w:r w:rsidR="006F4F35" w:rsidRPr="006B4059">
              <w:rPr>
                <w:color w:val="000000" w:themeColor="text1"/>
              </w:rPr>
              <w:t xml:space="preserve"> </w:t>
            </w:r>
            <w:r w:rsidRPr="006B4059">
              <w:rPr>
                <w:color w:val="000000" w:themeColor="text1"/>
              </w:rPr>
              <w:t xml:space="preserve">као што су: туристичко-географски положај, природни елементи (рељеф, клима, хидрографија, флора и фауна, природне реткости), друштвени елементи (историја, култура, саобраћај, привреда), материјални ресурси у туризму (смештајни капацитети), туристички промет (доласци и ноћења туриста, просечна дужина боравка, искоришћеност смештајних капацитета), облици туризма и правци развоја туризма у будућности. </w:t>
            </w:r>
            <w:r w:rsidR="007D2339" w:rsidRPr="006B4059">
              <w:rPr>
                <w:color w:val="000000" w:themeColor="text1"/>
              </w:rPr>
              <w:t>Вође пута су предметни наставници</w:t>
            </w:r>
            <w:r w:rsidR="006F4F35" w:rsidRPr="006B4059">
              <w:rPr>
                <w:color w:val="000000" w:themeColor="text1"/>
              </w:rPr>
              <w:t xml:space="preserve"> са модула ОАС Туризам</w:t>
            </w:r>
            <w:r w:rsidR="007D2339" w:rsidRPr="006B4059">
              <w:rPr>
                <w:color w:val="000000" w:themeColor="text1"/>
              </w:rPr>
              <w:t xml:space="preserve">, који студенте упознају са свим најзначајнијим карактеристикама места која се обилазе. </w:t>
            </w:r>
          </w:p>
          <w:p w14:paraId="199B55D5" w14:textId="77777777" w:rsidR="00D17D3F" w:rsidRPr="006B4059" w:rsidRDefault="00277D52">
            <w:pPr>
              <w:tabs>
                <w:tab w:val="left" w:pos="567"/>
              </w:tabs>
              <w:ind w:left="0" w:hanging="2"/>
              <w:rPr>
                <w:color w:val="000000" w:themeColor="text1"/>
              </w:rPr>
            </w:pPr>
            <w:r w:rsidRPr="006B4059">
              <w:rPr>
                <w:i/>
                <w:color w:val="000000" w:themeColor="text1"/>
              </w:rPr>
              <w:t>Практична настава.</w:t>
            </w:r>
          </w:p>
          <w:p w14:paraId="77388073" w14:textId="77777777" w:rsidR="00D17D3F" w:rsidRPr="006B4059" w:rsidRDefault="007D2339" w:rsidP="006F4F35">
            <w:pPr>
              <w:tabs>
                <w:tab w:val="left" w:pos="567"/>
              </w:tabs>
              <w:ind w:left="0" w:hanging="2"/>
              <w:jc w:val="both"/>
              <w:rPr>
                <w:color w:val="000000" w:themeColor="text1"/>
              </w:rPr>
            </w:pPr>
            <w:r w:rsidRPr="006B4059">
              <w:rPr>
                <w:color w:val="000000" w:themeColor="text1"/>
              </w:rPr>
              <w:t>О</w:t>
            </w:r>
            <w:r w:rsidR="00277D52" w:rsidRPr="006B4059">
              <w:rPr>
                <w:color w:val="000000" w:themeColor="text1"/>
              </w:rPr>
              <w:t>била</w:t>
            </w:r>
            <w:r w:rsidRPr="006B4059">
              <w:rPr>
                <w:color w:val="000000" w:themeColor="text1"/>
              </w:rPr>
              <w:t>зак</w:t>
            </w:r>
            <w:r w:rsidR="00277D52" w:rsidRPr="006B4059">
              <w:rPr>
                <w:color w:val="000000" w:themeColor="text1"/>
              </w:rPr>
              <w:t xml:space="preserve"> значајних природних и друштвених туристичких атрактивности на територији </w:t>
            </w:r>
            <w:r w:rsidRPr="006B4059">
              <w:rPr>
                <w:color w:val="000000" w:themeColor="text1"/>
              </w:rPr>
              <w:t>Западне и Источне</w:t>
            </w:r>
            <w:r w:rsidR="006F4F35" w:rsidRPr="006B4059">
              <w:rPr>
                <w:color w:val="000000" w:themeColor="text1"/>
              </w:rPr>
              <w:t xml:space="preserve"> </w:t>
            </w:r>
            <w:r w:rsidR="00277D52" w:rsidRPr="006B4059">
              <w:rPr>
                <w:color w:val="000000" w:themeColor="text1"/>
              </w:rPr>
              <w:t xml:space="preserve">Србије. </w:t>
            </w:r>
            <w:r w:rsidRPr="006B4059">
              <w:rPr>
                <w:color w:val="000000" w:themeColor="text1"/>
              </w:rPr>
              <w:t>Упознавање са различитим</w:t>
            </w:r>
            <w:r w:rsidR="00277D52" w:rsidRPr="006B4059">
              <w:rPr>
                <w:color w:val="000000" w:themeColor="text1"/>
              </w:rPr>
              <w:t xml:space="preserve"> врста</w:t>
            </w:r>
            <w:r w:rsidRPr="006B4059">
              <w:rPr>
                <w:color w:val="000000" w:themeColor="text1"/>
              </w:rPr>
              <w:t>ма</w:t>
            </w:r>
            <w:r w:rsidR="006F4F35" w:rsidRPr="006B4059">
              <w:rPr>
                <w:color w:val="000000" w:themeColor="text1"/>
              </w:rPr>
              <w:t xml:space="preserve"> </w:t>
            </w:r>
            <w:r w:rsidR="00277D52" w:rsidRPr="006B4059">
              <w:rPr>
                <w:color w:val="000000" w:themeColor="text1"/>
              </w:rPr>
              <w:t>туристичких места (градови, бањска места</w:t>
            </w:r>
            <w:r w:rsidR="006F4F35" w:rsidRPr="006B4059">
              <w:rPr>
                <w:color w:val="000000" w:themeColor="text1"/>
              </w:rPr>
              <w:t xml:space="preserve"> </w:t>
            </w:r>
            <w:r w:rsidRPr="006B4059">
              <w:rPr>
                <w:color w:val="000000" w:themeColor="text1"/>
              </w:rPr>
              <w:t>(Бања Ковиљача, Матарушка бања, Врњачка бања)</w:t>
            </w:r>
            <w:r w:rsidR="00277D52" w:rsidRPr="006B4059">
              <w:rPr>
                <w:color w:val="000000" w:themeColor="text1"/>
              </w:rPr>
              <w:t>, планинска места</w:t>
            </w:r>
            <w:r w:rsidRPr="006B4059">
              <w:rPr>
                <w:color w:val="000000" w:themeColor="text1"/>
              </w:rPr>
              <w:t xml:space="preserve"> (Златибор, Тара, Копаоник)</w:t>
            </w:r>
            <w:r w:rsidR="00277D52" w:rsidRPr="006B4059">
              <w:rPr>
                <w:color w:val="000000" w:themeColor="text1"/>
              </w:rPr>
              <w:t xml:space="preserve">, </w:t>
            </w:r>
            <w:r w:rsidRPr="006B4059">
              <w:rPr>
                <w:color w:val="000000" w:themeColor="text1"/>
              </w:rPr>
              <w:t>археолошка налазишта (Феликс Ромулијана, Виминацијум, Лепенски вир)</w:t>
            </w:r>
            <w:r w:rsidR="00277D52" w:rsidRPr="006B4059">
              <w:rPr>
                <w:color w:val="000000" w:themeColor="text1"/>
              </w:rPr>
              <w:t xml:space="preserve">. </w:t>
            </w:r>
            <w:r w:rsidRPr="006B4059">
              <w:rPr>
                <w:color w:val="000000" w:themeColor="text1"/>
              </w:rPr>
              <w:t>На појединим локалитетима студенти имају прилику да се упознају са</w:t>
            </w:r>
            <w:r w:rsidR="006F4F35" w:rsidRPr="006B4059">
              <w:rPr>
                <w:color w:val="000000" w:themeColor="text1"/>
              </w:rPr>
              <w:t xml:space="preserve"> </w:t>
            </w:r>
            <w:r w:rsidR="00277D52" w:rsidRPr="006B4059">
              <w:rPr>
                <w:color w:val="000000" w:themeColor="text1"/>
              </w:rPr>
              <w:t>представницима туристичке привреде у Србији</w:t>
            </w:r>
            <w:r w:rsidR="00971E24" w:rsidRPr="006B4059">
              <w:rPr>
                <w:color w:val="000000" w:themeColor="text1"/>
              </w:rPr>
              <w:t xml:space="preserve"> (хотелијери, запослени у ТО</w:t>
            </w:r>
            <w:r w:rsidR="006F4F35" w:rsidRPr="006B4059">
              <w:rPr>
                <w:color w:val="000000" w:themeColor="text1"/>
              </w:rPr>
              <w:t>, археолошким локалитетима, музејима</w:t>
            </w:r>
            <w:r w:rsidR="00971E24" w:rsidRPr="006B4059">
              <w:rPr>
                <w:color w:val="000000" w:themeColor="text1"/>
              </w:rPr>
              <w:t xml:space="preserve"> и сл.)</w:t>
            </w:r>
            <w:r w:rsidR="00277D52" w:rsidRPr="006B4059">
              <w:rPr>
                <w:color w:val="000000" w:themeColor="text1"/>
              </w:rPr>
              <w:t>.</w:t>
            </w:r>
          </w:p>
        </w:tc>
      </w:tr>
      <w:tr w:rsidR="008B1844" w14:paraId="33595C3A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52DEE19" w14:textId="77777777" w:rsidR="008B1844" w:rsidRPr="006B4059" w:rsidRDefault="008B1844" w:rsidP="008B184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 w:themeColor="text1"/>
              </w:rPr>
            </w:pPr>
            <w:r w:rsidRPr="006B4059">
              <w:rPr>
                <w:color w:val="000000" w:themeColor="text1"/>
                <w:sz w:val="16"/>
                <w:szCs w:val="16"/>
              </w:rPr>
              <w:t>Hadžić, O., Nedeljković-Knežević, M., Pivac, T. (2018). Održivi razvoj menadžmenta kulturnog turizma – stejkholderski pristup, Prirodno-matematički fakultet, Departman za geografiju, turizam i hotelijerstvo, Novi Sad, monografija, ISBN 978-86-7031-500-6</w:t>
            </w:r>
          </w:p>
          <w:p w14:paraId="0E14143F" w14:textId="77777777" w:rsidR="008B1844" w:rsidRPr="006B4059" w:rsidRDefault="008B1844" w:rsidP="008B184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 w:themeColor="text1"/>
              </w:rPr>
            </w:pPr>
            <w:r w:rsidRPr="006B4059">
              <w:rPr>
                <w:color w:val="000000" w:themeColor="text1"/>
                <w:sz w:val="16"/>
                <w:szCs w:val="16"/>
              </w:rPr>
              <w:t>Pivac, T., Dragin, A., Dragićević, V., Vasiljević, Đ. (2016). Selektivni oblici turizma – primeri dobre prakse u svetu i stanje u Republici Srbiji, Prirodno-matematički fakultet, Departman za geografiju, turizam i hotelijerstvo, Novi Sad, udžbenik, ISBN 978-86-7031-406-1</w:t>
            </w:r>
          </w:p>
        </w:tc>
      </w:tr>
      <w:tr w:rsidR="008B1844" w14:paraId="45A7A3D9" w14:textId="77777777">
        <w:trPr>
          <w:trHeight w:val="227"/>
        </w:trPr>
        <w:tc>
          <w:tcPr>
            <w:tcW w:w="3146" w:type="dxa"/>
          </w:tcPr>
          <w:p w14:paraId="0633DE69" w14:textId="77777777" w:rsidR="008B1844" w:rsidRPr="006B4059" w:rsidRDefault="008B1844" w:rsidP="008B1844">
            <w:pPr>
              <w:ind w:left="0" w:hanging="2"/>
              <w:rPr>
                <w:color w:val="000000" w:themeColor="text1"/>
              </w:rPr>
            </w:pPr>
            <w:r w:rsidRPr="006B4059">
              <w:rPr>
                <w:color w:val="000000" w:themeColor="text1"/>
              </w:rPr>
              <w:t>Предавања: /</w:t>
            </w:r>
          </w:p>
        </w:tc>
        <w:tc>
          <w:tcPr>
            <w:tcW w:w="3135" w:type="dxa"/>
            <w:gridSpan w:val="2"/>
          </w:tcPr>
          <w:p w14:paraId="0EE8249C" w14:textId="77777777" w:rsidR="008B1844" w:rsidRPr="006B4059" w:rsidRDefault="008B1844" w:rsidP="008B1844">
            <w:pPr>
              <w:ind w:left="0" w:hanging="2"/>
              <w:rPr>
                <w:color w:val="000000" w:themeColor="text1"/>
              </w:rPr>
            </w:pPr>
            <w:r w:rsidRPr="006B4059">
              <w:rPr>
                <w:color w:val="000000" w:themeColor="text1"/>
              </w:rPr>
              <w:t>Вежбе: /</w:t>
            </w:r>
          </w:p>
        </w:tc>
        <w:tc>
          <w:tcPr>
            <w:tcW w:w="3292" w:type="dxa"/>
            <w:gridSpan w:val="2"/>
          </w:tcPr>
          <w:p w14:paraId="7AD12C91" w14:textId="77777777" w:rsidR="008B1844" w:rsidRPr="006B4059" w:rsidRDefault="008B1844" w:rsidP="008B1844">
            <w:pPr>
              <w:ind w:left="0" w:hanging="2"/>
              <w:rPr>
                <w:color w:val="000000" w:themeColor="text1"/>
              </w:rPr>
            </w:pPr>
            <w:r w:rsidRPr="006B4059">
              <w:rPr>
                <w:color w:val="000000" w:themeColor="text1"/>
              </w:rPr>
              <w:t>Други облици наставе: 3</w:t>
            </w:r>
          </w:p>
        </w:tc>
      </w:tr>
      <w:tr w:rsidR="008B1844" w14:paraId="29556C62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B458855" w14:textId="77777777" w:rsidR="008B1844" w:rsidRPr="006B4059" w:rsidRDefault="008B1844" w:rsidP="008B1844">
            <w:pPr>
              <w:tabs>
                <w:tab w:val="left" w:pos="567"/>
              </w:tabs>
              <w:ind w:left="0" w:hanging="2"/>
              <w:jc w:val="both"/>
              <w:rPr>
                <w:color w:val="000000" w:themeColor="text1"/>
              </w:rPr>
            </w:pPr>
            <w:r w:rsidRPr="006B4059">
              <w:rPr>
                <w:b/>
                <w:color w:val="000000" w:themeColor="text1"/>
              </w:rPr>
              <w:t>Методе извођења наставе</w:t>
            </w:r>
          </w:p>
          <w:p w14:paraId="458C102D" w14:textId="77777777" w:rsidR="008B1844" w:rsidRPr="006B4059" w:rsidRDefault="008B1844" w:rsidP="008B1844">
            <w:pPr>
              <w:ind w:left="0" w:hanging="2"/>
              <w:jc w:val="both"/>
              <w:rPr>
                <w:color w:val="000000" w:themeColor="text1"/>
              </w:rPr>
            </w:pPr>
            <w:r w:rsidRPr="006B4059">
              <w:rPr>
                <w:color w:val="000000" w:themeColor="text1"/>
              </w:rPr>
              <w:t>Организовано путовање са обиласцима појединих туристичких места и локалитета. У склопу тога спороводе се: теренска осматрања; метод практичног извођења радних операција у туристичким предузећима; непосредно посматрање географске стварности; истраживачки разговор; наставни разговор; излагање студената о појединим темама; објашњавање појава на терену.</w:t>
            </w:r>
          </w:p>
        </w:tc>
      </w:tr>
      <w:tr w:rsidR="008B1844" w14:paraId="2305F471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D2BC3DE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8B1844" w14:paraId="59AC0F4A" w14:textId="77777777">
        <w:trPr>
          <w:trHeight w:val="227"/>
        </w:trPr>
        <w:tc>
          <w:tcPr>
            <w:tcW w:w="3146" w:type="dxa"/>
            <w:vAlign w:val="center"/>
          </w:tcPr>
          <w:p w14:paraId="367F4FE5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D28CA8C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t>поена</w:t>
            </w:r>
          </w:p>
          <w:p w14:paraId="30EF4C34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</w:p>
        </w:tc>
        <w:tc>
          <w:tcPr>
            <w:tcW w:w="3223" w:type="dxa"/>
            <w:gridSpan w:val="2"/>
            <w:vAlign w:val="center"/>
          </w:tcPr>
          <w:p w14:paraId="674B3D95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44" w:type="dxa"/>
            <w:vAlign w:val="center"/>
          </w:tcPr>
          <w:p w14:paraId="4C865D09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t>поена</w:t>
            </w:r>
          </w:p>
        </w:tc>
      </w:tr>
      <w:tr w:rsidR="008B1844" w14:paraId="09C18E86" w14:textId="77777777">
        <w:trPr>
          <w:trHeight w:val="227"/>
        </w:trPr>
        <w:tc>
          <w:tcPr>
            <w:tcW w:w="3146" w:type="dxa"/>
            <w:vAlign w:val="center"/>
          </w:tcPr>
          <w:p w14:paraId="38D36EBD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t xml:space="preserve">активност у току теренa </w:t>
            </w:r>
          </w:p>
        </w:tc>
        <w:tc>
          <w:tcPr>
            <w:tcW w:w="1960" w:type="dxa"/>
          </w:tcPr>
          <w:p w14:paraId="224C0EDF" w14:textId="77777777" w:rsidR="008B1844" w:rsidRDefault="008B1844" w:rsidP="008B1844">
            <w:pPr>
              <w:ind w:left="0" w:hanging="2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5AE33C0E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t xml:space="preserve">Семинарски рад – усмено излагање </w:t>
            </w:r>
          </w:p>
          <w:p w14:paraId="5A83C405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t xml:space="preserve">писани део   </w:t>
            </w:r>
          </w:p>
        </w:tc>
        <w:tc>
          <w:tcPr>
            <w:tcW w:w="1244" w:type="dxa"/>
            <w:vAlign w:val="center"/>
          </w:tcPr>
          <w:p w14:paraId="0C03D2FB" w14:textId="77777777" w:rsidR="008B1844" w:rsidRDefault="008B1844" w:rsidP="008B1844">
            <w:pPr>
              <w:tabs>
                <w:tab w:val="left" w:pos="567"/>
              </w:tabs>
              <w:ind w:left="0" w:hanging="2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8B1844" w14:paraId="4A53E89E" w14:textId="77777777">
        <w:trPr>
          <w:trHeight w:val="227"/>
        </w:trPr>
        <w:tc>
          <w:tcPr>
            <w:tcW w:w="3146" w:type="dxa"/>
            <w:vAlign w:val="center"/>
          </w:tcPr>
          <w:p w14:paraId="61856C04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t>практична настава</w:t>
            </w:r>
          </w:p>
        </w:tc>
        <w:tc>
          <w:tcPr>
            <w:tcW w:w="1960" w:type="dxa"/>
          </w:tcPr>
          <w:p w14:paraId="568DBE47" w14:textId="77777777" w:rsidR="008B1844" w:rsidRDefault="008B1844" w:rsidP="008B1844">
            <w:pPr>
              <w:ind w:left="0" w:hanging="2"/>
              <w:jc w:val="center"/>
            </w:pPr>
            <w:r>
              <w:rPr>
                <w:b/>
              </w:rPr>
              <w:t>/</w:t>
            </w:r>
          </w:p>
        </w:tc>
        <w:tc>
          <w:tcPr>
            <w:tcW w:w="3223" w:type="dxa"/>
            <w:gridSpan w:val="2"/>
            <w:vAlign w:val="center"/>
          </w:tcPr>
          <w:p w14:paraId="16C9880E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</w:p>
        </w:tc>
        <w:tc>
          <w:tcPr>
            <w:tcW w:w="1244" w:type="dxa"/>
            <w:vAlign w:val="center"/>
          </w:tcPr>
          <w:p w14:paraId="4C7547E5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</w:p>
        </w:tc>
      </w:tr>
      <w:tr w:rsidR="008B1844" w14:paraId="77B3D228" w14:textId="77777777">
        <w:trPr>
          <w:trHeight w:val="227"/>
        </w:trPr>
        <w:tc>
          <w:tcPr>
            <w:tcW w:w="3146" w:type="dxa"/>
            <w:vAlign w:val="center"/>
          </w:tcPr>
          <w:p w14:paraId="100FD9BB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t>колоквијум-и</w:t>
            </w:r>
          </w:p>
        </w:tc>
        <w:tc>
          <w:tcPr>
            <w:tcW w:w="1960" w:type="dxa"/>
          </w:tcPr>
          <w:p w14:paraId="4B2096BA" w14:textId="77777777" w:rsidR="008B1844" w:rsidRDefault="008B1844" w:rsidP="008B1844">
            <w:pPr>
              <w:ind w:left="0" w:hanging="2"/>
              <w:jc w:val="center"/>
            </w:pPr>
            <w:r>
              <w:rPr>
                <w:b/>
              </w:rPr>
              <w:t>45</w:t>
            </w:r>
          </w:p>
        </w:tc>
        <w:tc>
          <w:tcPr>
            <w:tcW w:w="3223" w:type="dxa"/>
            <w:gridSpan w:val="2"/>
            <w:vAlign w:val="center"/>
          </w:tcPr>
          <w:p w14:paraId="3C433576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</w:p>
        </w:tc>
        <w:tc>
          <w:tcPr>
            <w:tcW w:w="1244" w:type="dxa"/>
            <w:vAlign w:val="center"/>
          </w:tcPr>
          <w:p w14:paraId="7966CC2D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</w:p>
        </w:tc>
      </w:tr>
      <w:tr w:rsidR="008B1844" w14:paraId="7962B796" w14:textId="77777777">
        <w:trPr>
          <w:trHeight w:val="227"/>
        </w:trPr>
        <w:tc>
          <w:tcPr>
            <w:tcW w:w="3146" w:type="dxa"/>
            <w:vAlign w:val="center"/>
          </w:tcPr>
          <w:p w14:paraId="48923374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  <w:r>
              <w:t>Семинарски рад – писани део</w:t>
            </w:r>
          </w:p>
        </w:tc>
        <w:tc>
          <w:tcPr>
            <w:tcW w:w="1960" w:type="dxa"/>
          </w:tcPr>
          <w:p w14:paraId="2BCCCAC6" w14:textId="77777777" w:rsidR="008B1844" w:rsidRDefault="008B1844" w:rsidP="008B1844">
            <w:pPr>
              <w:ind w:left="0" w:hanging="2"/>
              <w:jc w:val="center"/>
            </w:pPr>
            <w:r>
              <w:rPr>
                <w:b/>
              </w:rPr>
              <w:t>25</w:t>
            </w:r>
          </w:p>
        </w:tc>
        <w:tc>
          <w:tcPr>
            <w:tcW w:w="3223" w:type="dxa"/>
            <w:gridSpan w:val="2"/>
            <w:vAlign w:val="center"/>
          </w:tcPr>
          <w:p w14:paraId="6A8BDB67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</w:p>
        </w:tc>
        <w:tc>
          <w:tcPr>
            <w:tcW w:w="1244" w:type="dxa"/>
            <w:vAlign w:val="center"/>
          </w:tcPr>
          <w:p w14:paraId="126CF795" w14:textId="77777777" w:rsidR="008B1844" w:rsidRDefault="008B1844" w:rsidP="008B1844">
            <w:pPr>
              <w:tabs>
                <w:tab w:val="left" w:pos="567"/>
              </w:tabs>
              <w:ind w:left="0" w:hanging="2"/>
            </w:pPr>
          </w:p>
        </w:tc>
      </w:tr>
    </w:tbl>
    <w:p w14:paraId="5B29F8FD" w14:textId="77777777" w:rsidR="00D17D3F" w:rsidRDefault="00D17D3F">
      <w:pPr>
        <w:ind w:left="0" w:hanging="2"/>
      </w:pPr>
    </w:p>
    <w:sectPr w:rsidR="00D17D3F" w:rsidSect="005567F2">
      <w:pgSz w:w="11907" w:h="16840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F26"/>
    <w:multiLevelType w:val="multilevel"/>
    <w:tmpl w:val="CD920B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28603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3F"/>
    <w:rsid w:val="00277D52"/>
    <w:rsid w:val="00297342"/>
    <w:rsid w:val="005567F2"/>
    <w:rsid w:val="005B47E8"/>
    <w:rsid w:val="00610066"/>
    <w:rsid w:val="006B4059"/>
    <w:rsid w:val="006F4F35"/>
    <w:rsid w:val="007917E9"/>
    <w:rsid w:val="007D2339"/>
    <w:rsid w:val="008B1844"/>
    <w:rsid w:val="008F2F08"/>
    <w:rsid w:val="00971E24"/>
    <w:rsid w:val="00BE7FFB"/>
    <w:rsid w:val="00BF6937"/>
    <w:rsid w:val="00D1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15F2B2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7F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5567F2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5567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5567F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5567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5567F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5567F2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5567F2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5567F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rsid w:val="005567F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567F2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61006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006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97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Tatjana%20Piva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Aleksandra%20Dragin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Axxp7vXMpbK2knJHc8b18jQhpxQ==">AMUW2mVvBI8JMEOwsTJ7P6yBd3Z3OhhkV80xMtjvisXMKP9f7L4mScUYDypN+Nss/2cwnkuM/QHUgMkpDrJhmCOUezaaxr7Krm1pUjIRMvAdw+hlL1OwhHE=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2023-11-14T19:53:00Z</dcterms:created>
  <dcterms:modified xsi:type="dcterms:W3CDTF">2023-11-14T19:53:00Z</dcterms:modified>
</cp:coreProperties>
</file>