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015D7" w14:textId="77777777" w:rsidR="00E43678" w:rsidRDefault="00E43678">
      <w:pPr>
        <w:widowControl w:val="0"/>
        <w:pBdr>
          <w:top w:val="nil"/>
          <w:left w:val="nil"/>
          <w:bottom w:val="nil"/>
          <w:right w:val="nil"/>
          <w:between w:val="nil"/>
        </w:pBdr>
        <w:spacing w:line="276" w:lineRule="auto"/>
        <w:rPr>
          <w:rFonts w:ascii="Arial" w:eastAsia="Arial" w:hAnsi="Arial" w:cs="Arial"/>
          <w:color w:val="000000"/>
          <w:sz w:val="22"/>
          <w:szCs w:val="22"/>
        </w:rPr>
      </w:pPr>
    </w:p>
    <w:tbl>
      <w:tblPr>
        <w:tblStyle w:val="a"/>
        <w:tblW w:w="9590" w:type="dxa"/>
        <w:tblInd w:w="-114" w:type="dxa"/>
        <w:tblLayout w:type="fixed"/>
        <w:tblLook w:val="0000" w:firstRow="0" w:lastRow="0" w:firstColumn="0" w:lastColumn="0" w:noHBand="0" w:noVBand="0"/>
      </w:tblPr>
      <w:tblGrid>
        <w:gridCol w:w="5030"/>
        <w:gridCol w:w="1684"/>
        <w:gridCol w:w="576"/>
        <w:gridCol w:w="576"/>
        <w:gridCol w:w="1724"/>
      </w:tblGrid>
      <w:tr w:rsidR="00E43678" w14:paraId="6C73B572" w14:textId="77777777">
        <w:trPr>
          <w:trHeight w:val="227"/>
        </w:trPr>
        <w:tc>
          <w:tcPr>
            <w:tcW w:w="9590" w:type="dxa"/>
            <w:gridSpan w:val="5"/>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3BF2CB72" w14:textId="77777777" w:rsidR="00E43678" w:rsidRDefault="00D9511D">
            <w:pPr>
              <w:spacing w:after="60"/>
            </w:pPr>
            <w:r>
              <w:rPr>
                <w:b/>
                <w:color w:val="000000"/>
              </w:rPr>
              <w:t>Студијски програм: OAС Туризам</w:t>
            </w:r>
          </w:p>
        </w:tc>
      </w:tr>
      <w:tr w:rsidR="00E43678" w14:paraId="06351091" w14:textId="77777777">
        <w:trPr>
          <w:trHeight w:val="227"/>
        </w:trPr>
        <w:tc>
          <w:tcPr>
            <w:tcW w:w="9590" w:type="dxa"/>
            <w:gridSpan w:val="5"/>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2E04B8DF" w14:textId="77777777" w:rsidR="00E43678" w:rsidRDefault="00D9511D">
            <w:pPr>
              <w:spacing w:after="60"/>
              <w:jc w:val="both"/>
            </w:pPr>
            <w:r>
              <w:rPr>
                <w:b/>
                <w:color w:val="000000"/>
              </w:rPr>
              <w:t xml:space="preserve">Назив предмета: </w:t>
            </w:r>
            <w:r>
              <w:rPr>
                <w:color w:val="000000"/>
              </w:rPr>
              <w:t>Селективни облици туризма</w:t>
            </w:r>
          </w:p>
        </w:tc>
      </w:tr>
      <w:tr w:rsidR="00E43678" w14:paraId="0F5F4FF9" w14:textId="77777777">
        <w:trPr>
          <w:trHeight w:val="227"/>
        </w:trPr>
        <w:tc>
          <w:tcPr>
            <w:tcW w:w="9590" w:type="dxa"/>
            <w:gridSpan w:val="5"/>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3CC93E14" w14:textId="0CD927A4" w:rsidR="00E43678" w:rsidRDefault="00D9511D">
            <w:pPr>
              <w:spacing w:after="60"/>
            </w:pPr>
            <w:r>
              <w:rPr>
                <w:b/>
                <w:color w:val="000000"/>
              </w:rPr>
              <w:t xml:space="preserve">Наставник/наставници: </w:t>
            </w:r>
            <w:hyperlink r:id="rId5" w:history="1">
              <w:r w:rsidRPr="003E762B">
                <w:rPr>
                  <w:rStyle w:val="Hyperlink"/>
                </w:rPr>
                <w:t>Татјана Пивац</w:t>
              </w:r>
            </w:hyperlink>
            <w:r>
              <w:rPr>
                <w:color w:val="000000"/>
              </w:rPr>
              <w:t>,</w:t>
            </w:r>
            <w:r>
              <w:rPr>
                <w:b/>
                <w:color w:val="000000"/>
              </w:rPr>
              <w:t xml:space="preserve"> </w:t>
            </w:r>
            <w:hyperlink r:id="rId6" w:history="1">
              <w:r w:rsidRPr="003E762B">
                <w:rPr>
                  <w:rStyle w:val="Hyperlink"/>
                </w:rPr>
                <w:t>Александра Драгин</w:t>
              </w:r>
            </w:hyperlink>
          </w:p>
        </w:tc>
      </w:tr>
      <w:tr w:rsidR="00E43678" w14:paraId="49829A29" w14:textId="77777777">
        <w:trPr>
          <w:trHeight w:val="227"/>
        </w:trPr>
        <w:tc>
          <w:tcPr>
            <w:tcW w:w="9590" w:type="dxa"/>
            <w:gridSpan w:val="5"/>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568BBA9A" w14:textId="77777777" w:rsidR="00E43678" w:rsidRPr="00444AAD" w:rsidRDefault="00D9511D">
            <w:pPr>
              <w:spacing w:after="60"/>
            </w:pPr>
            <w:r>
              <w:rPr>
                <w:b/>
                <w:color w:val="000000"/>
              </w:rPr>
              <w:t xml:space="preserve">Статус предмета: </w:t>
            </w:r>
            <w:r w:rsidRPr="00194BB4">
              <w:rPr>
                <w:color w:val="000000" w:themeColor="text1"/>
              </w:rPr>
              <w:t>обавезан</w:t>
            </w:r>
            <w:r w:rsidR="00444AAD" w:rsidRPr="00194BB4">
              <w:rPr>
                <w:color w:val="000000" w:themeColor="text1"/>
              </w:rPr>
              <w:t xml:space="preserve"> (Т), изборни (ЛТ)</w:t>
            </w:r>
          </w:p>
        </w:tc>
      </w:tr>
      <w:tr w:rsidR="00E43678" w14:paraId="4A6AE034" w14:textId="77777777">
        <w:trPr>
          <w:trHeight w:val="227"/>
        </w:trPr>
        <w:tc>
          <w:tcPr>
            <w:tcW w:w="9590" w:type="dxa"/>
            <w:gridSpan w:val="5"/>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3260E62B" w14:textId="77777777" w:rsidR="00E43678" w:rsidRDefault="00D9511D">
            <w:pPr>
              <w:spacing w:after="60"/>
            </w:pPr>
            <w:r>
              <w:rPr>
                <w:b/>
                <w:color w:val="000000"/>
              </w:rPr>
              <w:t>Број ЕСПБ: </w:t>
            </w:r>
            <w:r>
              <w:rPr>
                <w:color w:val="000000"/>
              </w:rPr>
              <w:t>6</w:t>
            </w:r>
          </w:p>
        </w:tc>
      </w:tr>
      <w:tr w:rsidR="00E43678" w14:paraId="7810A2AE" w14:textId="77777777">
        <w:trPr>
          <w:trHeight w:val="227"/>
        </w:trPr>
        <w:tc>
          <w:tcPr>
            <w:tcW w:w="9590" w:type="dxa"/>
            <w:gridSpan w:val="5"/>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012809E7" w14:textId="77777777" w:rsidR="00E43678" w:rsidRPr="00444AAD" w:rsidRDefault="00D9511D">
            <w:pPr>
              <w:spacing w:after="60"/>
            </w:pPr>
            <w:r>
              <w:rPr>
                <w:b/>
                <w:color w:val="000000"/>
              </w:rPr>
              <w:t xml:space="preserve">Услов: </w:t>
            </w:r>
            <w:r w:rsidR="00444AAD">
              <w:t>нема</w:t>
            </w:r>
          </w:p>
        </w:tc>
      </w:tr>
      <w:tr w:rsidR="00E43678" w14:paraId="73DC20E8" w14:textId="77777777">
        <w:trPr>
          <w:trHeight w:val="227"/>
        </w:trPr>
        <w:tc>
          <w:tcPr>
            <w:tcW w:w="9590" w:type="dxa"/>
            <w:gridSpan w:val="5"/>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313DDD28" w14:textId="77777777" w:rsidR="00E43678" w:rsidRDefault="00D9511D">
            <w:pPr>
              <w:spacing w:after="60"/>
              <w:rPr>
                <w:color w:val="000000"/>
                <w:sz w:val="24"/>
                <w:szCs w:val="24"/>
              </w:rPr>
            </w:pPr>
            <w:r>
              <w:rPr>
                <w:b/>
                <w:color w:val="000000"/>
              </w:rPr>
              <w:t>Циљ предмета</w:t>
            </w:r>
          </w:p>
          <w:p w14:paraId="2D5A14C9" w14:textId="77777777" w:rsidR="00E43678" w:rsidRDefault="00D9511D">
            <w:pPr>
              <w:spacing w:after="60"/>
              <w:jc w:val="both"/>
            </w:pPr>
            <w:r>
              <w:rPr>
                <w:color w:val="000000"/>
              </w:rPr>
              <w:t xml:space="preserve">Циљ је упознати студенте са карактеристикама различитих облика туризма. У оквиру предмета ће се проучавати савремени трендови кретања туристичке понуде и потражње везане за нове облике туризма, масовни туризам, екстремне облике туризма, алтернативне облике туризма, постмодерни туризам као глобални симулакрум. Посебне наставне јединице се баве проблематиком регистровања броја туристичких долазака и ноћења, као и категоризацијом угоститељских објеката који су у вези са појединим, често не типичним облицима туризма. </w:t>
            </w:r>
          </w:p>
        </w:tc>
      </w:tr>
      <w:tr w:rsidR="00E43678" w14:paraId="542C5023" w14:textId="77777777">
        <w:trPr>
          <w:trHeight w:val="227"/>
        </w:trPr>
        <w:tc>
          <w:tcPr>
            <w:tcW w:w="9590" w:type="dxa"/>
            <w:gridSpan w:val="5"/>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5EE765D5" w14:textId="77777777" w:rsidR="00E43678" w:rsidRDefault="00D9511D">
            <w:pPr>
              <w:spacing w:after="60"/>
              <w:rPr>
                <w:color w:val="000000"/>
                <w:sz w:val="24"/>
                <w:szCs w:val="24"/>
              </w:rPr>
            </w:pPr>
            <w:r>
              <w:rPr>
                <w:b/>
                <w:color w:val="000000"/>
              </w:rPr>
              <w:t>Исход предмета </w:t>
            </w:r>
          </w:p>
          <w:p w14:paraId="6E3A7877" w14:textId="77777777" w:rsidR="00E43678" w:rsidRDefault="00D9511D">
            <w:pPr>
              <w:spacing w:after="60"/>
              <w:jc w:val="both"/>
            </w:pPr>
            <w:r>
              <w:rPr>
                <w:color w:val="000000"/>
              </w:rPr>
              <w:t>Студенти ће стећи знања о основним елементима, условима и факторима који одређују карактер одређеног облика туризма. Студенти ће бити оспособљени за проналажење предиспозиција за различите облике туризма у свету, као и да процене њихове карактеристике и услове развоја код нас.</w:t>
            </w:r>
          </w:p>
        </w:tc>
      </w:tr>
      <w:tr w:rsidR="00E43678" w14:paraId="4F0D6BB1" w14:textId="77777777">
        <w:trPr>
          <w:trHeight w:val="227"/>
        </w:trPr>
        <w:tc>
          <w:tcPr>
            <w:tcW w:w="9590" w:type="dxa"/>
            <w:gridSpan w:val="5"/>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430B1F90" w14:textId="77777777" w:rsidR="00E43678" w:rsidRDefault="00D9511D">
            <w:pPr>
              <w:spacing w:after="60"/>
              <w:rPr>
                <w:color w:val="000000"/>
                <w:sz w:val="24"/>
                <w:szCs w:val="24"/>
              </w:rPr>
            </w:pPr>
            <w:r>
              <w:rPr>
                <w:b/>
                <w:color w:val="000000"/>
              </w:rPr>
              <w:t>Садржај предмета</w:t>
            </w:r>
          </w:p>
          <w:p w14:paraId="1CC6B0C8" w14:textId="77777777" w:rsidR="00E43678" w:rsidRDefault="00D9511D">
            <w:pPr>
              <w:jc w:val="both"/>
              <w:rPr>
                <w:i/>
                <w:color w:val="000000"/>
              </w:rPr>
            </w:pPr>
            <w:r>
              <w:rPr>
                <w:i/>
                <w:color w:val="000000"/>
              </w:rPr>
              <w:t>Теоријска настава</w:t>
            </w:r>
          </w:p>
          <w:p w14:paraId="0D78977D" w14:textId="77777777" w:rsidR="00E43678" w:rsidRPr="00194BB4" w:rsidRDefault="00D9511D">
            <w:pPr>
              <w:spacing w:after="200" w:line="276" w:lineRule="auto"/>
              <w:jc w:val="both"/>
              <w:rPr>
                <w:color w:val="000000" w:themeColor="text1"/>
              </w:rPr>
            </w:pPr>
            <w:r w:rsidRPr="00194BB4">
              <w:rPr>
                <w:color w:val="000000" w:themeColor="text1"/>
              </w:rPr>
              <w:t>Изучавање специфичности различитих облика туризма и концепата понуде, као и специфичности туриста и њихових образаца понашања у оквиру различитих облика туризма.</w:t>
            </w:r>
            <w:r w:rsidR="00444AAD" w:rsidRPr="00194BB4">
              <w:rPr>
                <w:color w:val="000000" w:themeColor="text1"/>
              </w:rPr>
              <w:t xml:space="preserve"> Обрађују се облици туризма засновани на културним елементима, као што су Културни, Религијски, Гастрономски, Вински, Индустријски, Модни, Филмски туризам, Круз туризам. Затим облици туризма засновани на природним елементима, као што су Рурални, Екотуризам, Геотуризам, Авантуристички, Фото, Бициклистички, Ски, Наутички, Велнес и Ловни туризам. На крају се обрађује Пословни, Мрачни, Волонтерски, Голф туризам, Архитуризам, Каучсурфинг, Комунистички туризам, Медицински и Свемирски туризам. Посебно поглавље је намењено обради тема везаних за категоризацију угоститељских објеката и статистичко праћење туристичког промета.</w:t>
            </w:r>
          </w:p>
          <w:p w14:paraId="66585E0A" w14:textId="77777777" w:rsidR="00E43678" w:rsidRPr="00026041" w:rsidRDefault="00D9511D">
            <w:pPr>
              <w:tabs>
                <w:tab w:val="left" w:pos="567"/>
              </w:tabs>
              <w:spacing w:line="276" w:lineRule="auto"/>
              <w:jc w:val="both"/>
              <w:rPr>
                <w:i/>
                <w:color w:val="000000"/>
              </w:rPr>
            </w:pPr>
            <w:r>
              <w:rPr>
                <w:i/>
                <w:color w:val="000000"/>
              </w:rPr>
              <w:t xml:space="preserve">Практична </w:t>
            </w:r>
            <w:r w:rsidRPr="00026041">
              <w:rPr>
                <w:i/>
                <w:color w:val="000000"/>
              </w:rPr>
              <w:t>настава</w:t>
            </w:r>
          </w:p>
          <w:p w14:paraId="671C9859" w14:textId="77777777" w:rsidR="00E43678" w:rsidRDefault="00D9511D">
            <w:pPr>
              <w:tabs>
                <w:tab w:val="left" w:pos="567"/>
              </w:tabs>
              <w:spacing w:after="120" w:line="276" w:lineRule="auto"/>
              <w:jc w:val="both"/>
            </w:pPr>
            <w:r w:rsidRPr="00026041">
              <w:rPr>
                <w:color w:val="000000"/>
              </w:rPr>
              <w:t xml:space="preserve">Анализа примера добре праксе различитих облика туризма и примене теоријских концепата у пракси, посете различитим туристичким локалитетима и сарадња са локалним туристичким организацијама и креаторима различитих туристичких производа и </w:t>
            </w:r>
            <w:r w:rsidRPr="00194BB4">
              <w:rPr>
                <w:color w:val="000000" w:themeColor="text1"/>
              </w:rPr>
              <w:t>услуга.</w:t>
            </w:r>
            <w:r w:rsidR="00026041" w:rsidRPr="00194BB4">
              <w:rPr>
                <w:color w:val="000000" w:themeColor="text1"/>
                <w:shd w:val="clear" w:color="auto" w:fill="FFFFFF"/>
              </w:rPr>
              <w:t xml:space="preserve"> Гостујућа предавања стручњака из различитих сфера селективних облика туризма који кроз практичне примере дочаравају студентима тренутно стање, шансе и перспективе одређених облика туризма, како у Србији тако и у свету</w:t>
            </w:r>
          </w:p>
        </w:tc>
      </w:tr>
      <w:tr w:rsidR="00E43678" w14:paraId="023798F7" w14:textId="77777777">
        <w:trPr>
          <w:trHeight w:val="227"/>
        </w:trPr>
        <w:tc>
          <w:tcPr>
            <w:tcW w:w="9590" w:type="dxa"/>
            <w:gridSpan w:val="5"/>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50E94B94" w14:textId="77777777" w:rsidR="00E43678" w:rsidRDefault="00D9511D">
            <w:pPr>
              <w:spacing w:after="60"/>
              <w:rPr>
                <w:color w:val="000000"/>
                <w:sz w:val="24"/>
                <w:szCs w:val="24"/>
              </w:rPr>
            </w:pPr>
            <w:r>
              <w:rPr>
                <w:b/>
                <w:color w:val="000000"/>
              </w:rPr>
              <w:t>Литература </w:t>
            </w:r>
          </w:p>
          <w:p w14:paraId="21054449" w14:textId="77777777" w:rsidR="00E43678" w:rsidRDefault="00D9511D">
            <w:pPr>
              <w:jc w:val="both"/>
              <w:rPr>
                <w:color w:val="000000"/>
              </w:rPr>
            </w:pPr>
            <w:r>
              <w:rPr>
                <w:color w:val="000000"/>
              </w:rPr>
              <w:t xml:space="preserve">Пивац, Т., Драгин, А. Драгићевић, В. и Васиљевић, Ђ. (2016): Селективни облици туризма - Примери добре праксе у свету и стање у </w:t>
            </w:r>
            <w:r w:rsidRPr="00444AAD">
              <w:rPr>
                <w:color w:val="000000"/>
              </w:rPr>
              <w:t xml:space="preserve">Републици Србији. Природно-математички факултет, Департман за географију, туризам и хотелијерство, </w:t>
            </w:r>
            <w:r w:rsidRPr="00194BB4">
              <w:rPr>
                <w:color w:val="000000" w:themeColor="text1"/>
              </w:rPr>
              <w:t>Нови Сад.</w:t>
            </w:r>
            <w:r w:rsidR="00444AAD" w:rsidRPr="00194BB4">
              <w:rPr>
                <w:color w:val="000000" w:themeColor="text1"/>
              </w:rPr>
              <w:t xml:space="preserve"> ISBN 978-86-7031-406-1</w:t>
            </w:r>
          </w:p>
          <w:p w14:paraId="62195DFD" w14:textId="77777777" w:rsidR="00E43678" w:rsidRDefault="00E43678"/>
        </w:tc>
      </w:tr>
      <w:tr w:rsidR="00E43678" w14:paraId="7D2B10E3" w14:textId="77777777">
        <w:trPr>
          <w:trHeight w:val="227"/>
        </w:trPr>
        <w:tc>
          <w:tcPr>
            <w:tcW w:w="5030"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29F3FE58" w14:textId="77777777" w:rsidR="00E43678" w:rsidRDefault="00D9511D">
            <w:pPr>
              <w:spacing w:after="60"/>
            </w:pPr>
            <w:r>
              <w:rPr>
                <w:b/>
                <w:color w:val="000000"/>
              </w:rPr>
              <w:t xml:space="preserve">Број часова  активне наставе: </w:t>
            </w:r>
            <w:r>
              <w:rPr>
                <w:color w:val="000000"/>
              </w:rPr>
              <w:t>4</w:t>
            </w:r>
          </w:p>
        </w:tc>
        <w:tc>
          <w:tcPr>
            <w:tcW w:w="2260" w:type="dxa"/>
            <w:gridSpan w:val="2"/>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14:paraId="10713BCF" w14:textId="77777777" w:rsidR="00E43678" w:rsidRDefault="00D9511D">
            <w:pPr>
              <w:spacing w:after="60"/>
            </w:pPr>
            <w:r>
              <w:rPr>
                <w:b/>
                <w:color w:val="000000"/>
              </w:rPr>
              <w:t xml:space="preserve">Теоријска настава: </w:t>
            </w:r>
            <w:r>
              <w:rPr>
                <w:color w:val="000000"/>
              </w:rPr>
              <w:t>2</w:t>
            </w:r>
          </w:p>
        </w:tc>
        <w:tc>
          <w:tcPr>
            <w:tcW w:w="2300" w:type="dxa"/>
            <w:gridSpan w:val="2"/>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14:paraId="63102367" w14:textId="77777777" w:rsidR="00E43678" w:rsidRDefault="00D9511D">
            <w:pPr>
              <w:spacing w:after="60"/>
            </w:pPr>
            <w:r>
              <w:rPr>
                <w:b/>
                <w:color w:val="000000"/>
              </w:rPr>
              <w:t xml:space="preserve">Практична настава: </w:t>
            </w:r>
            <w:r>
              <w:rPr>
                <w:color w:val="000000"/>
              </w:rPr>
              <w:t>2</w:t>
            </w:r>
          </w:p>
        </w:tc>
      </w:tr>
      <w:tr w:rsidR="00E43678" w14:paraId="3647B672" w14:textId="77777777">
        <w:trPr>
          <w:trHeight w:val="227"/>
        </w:trPr>
        <w:tc>
          <w:tcPr>
            <w:tcW w:w="9590" w:type="dxa"/>
            <w:gridSpan w:val="5"/>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7833D8EF" w14:textId="77777777" w:rsidR="00E43678" w:rsidRDefault="00D9511D">
            <w:pPr>
              <w:spacing w:after="60"/>
              <w:rPr>
                <w:color w:val="000000"/>
                <w:sz w:val="24"/>
                <w:szCs w:val="24"/>
              </w:rPr>
            </w:pPr>
            <w:r>
              <w:rPr>
                <w:b/>
                <w:color w:val="000000"/>
              </w:rPr>
              <w:t>Методе извођења наставе</w:t>
            </w:r>
          </w:p>
          <w:p w14:paraId="78164E6B" w14:textId="77777777" w:rsidR="00E43678" w:rsidRDefault="00D9511D">
            <w:pPr>
              <w:jc w:val="both"/>
              <w:rPr>
                <w:color w:val="000000"/>
              </w:rPr>
            </w:pPr>
            <w:r>
              <w:rPr>
                <w:color w:val="000000"/>
              </w:rPr>
              <w:t>Фронтални, индиректни облици, посебне врсте рада. Метода усменог излагања, метода разговара, илустративно-демонстративна метода, анализа случаја, симулација. Предавања се комбинују са комуникативним, интерактивним вежбама, а од студената се очекује активно учешће у настави и критичко размишљање кроз дискусију.</w:t>
            </w:r>
          </w:p>
          <w:p w14:paraId="0ACB59FB" w14:textId="77777777" w:rsidR="00E43678" w:rsidRDefault="00E43678">
            <w:pPr>
              <w:jc w:val="both"/>
            </w:pPr>
          </w:p>
        </w:tc>
      </w:tr>
      <w:tr w:rsidR="00E43678" w14:paraId="3D170B13" w14:textId="77777777">
        <w:trPr>
          <w:trHeight w:val="227"/>
        </w:trPr>
        <w:tc>
          <w:tcPr>
            <w:tcW w:w="9590" w:type="dxa"/>
            <w:gridSpan w:val="5"/>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782EF918" w14:textId="77777777" w:rsidR="00E43678" w:rsidRDefault="00D9511D">
            <w:pPr>
              <w:spacing w:after="60"/>
            </w:pPr>
            <w:r>
              <w:rPr>
                <w:b/>
                <w:color w:val="000000"/>
              </w:rPr>
              <w:t>Оцена  знања (максимални број поена 100)</w:t>
            </w:r>
            <w:r>
              <w:rPr>
                <w:color w:val="FF0000"/>
              </w:rPr>
              <w:t xml:space="preserve"> </w:t>
            </w:r>
          </w:p>
        </w:tc>
      </w:tr>
      <w:tr w:rsidR="00E43678" w14:paraId="03CAF14A" w14:textId="77777777">
        <w:trPr>
          <w:trHeight w:val="227"/>
        </w:trPr>
        <w:tc>
          <w:tcPr>
            <w:tcW w:w="5030"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3810AD65" w14:textId="77777777" w:rsidR="00E43678" w:rsidRDefault="00D9511D">
            <w:r>
              <w:rPr>
                <w:b/>
                <w:color w:val="000000"/>
              </w:rPr>
              <w:lastRenderedPageBreak/>
              <w:t>Предиспитне обавезе</w:t>
            </w:r>
          </w:p>
        </w:tc>
        <w:tc>
          <w:tcPr>
            <w:tcW w:w="1684"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72D8DF32" w14:textId="77777777" w:rsidR="00E43678" w:rsidRDefault="00D9511D">
            <w:r>
              <w:rPr>
                <w:color w:val="000000"/>
              </w:rPr>
              <w:t>поена </w:t>
            </w:r>
          </w:p>
        </w:tc>
        <w:tc>
          <w:tcPr>
            <w:tcW w:w="1152" w:type="dxa"/>
            <w:gridSpan w:val="2"/>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04F76366" w14:textId="77777777" w:rsidR="00E43678" w:rsidRDefault="00D9511D">
            <w:r>
              <w:rPr>
                <w:b/>
                <w:color w:val="000000"/>
              </w:rPr>
              <w:t xml:space="preserve">Завршни испит </w:t>
            </w:r>
          </w:p>
        </w:tc>
        <w:tc>
          <w:tcPr>
            <w:tcW w:w="1724"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21ACF8A1" w14:textId="77777777" w:rsidR="00E43678" w:rsidRDefault="00D9511D">
            <w:r>
              <w:rPr>
                <w:color w:val="000000"/>
              </w:rPr>
              <w:t xml:space="preserve">поена </w:t>
            </w:r>
          </w:p>
        </w:tc>
      </w:tr>
      <w:tr w:rsidR="00E43678" w14:paraId="12C05B2F" w14:textId="77777777">
        <w:trPr>
          <w:trHeight w:val="227"/>
        </w:trPr>
        <w:tc>
          <w:tcPr>
            <w:tcW w:w="5030"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1B974B39" w14:textId="77777777" w:rsidR="00E43678" w:rsidRDefault="00D9511D">
            <w:r>
              <w:rPr>
                <w:color w:val="000000"/>
              </w:rPr>
              <w:t>активност у току предавања</w:t>
            </w:r>
          </w:p>
        </w:tc>
        <w:tc>
          <w:tcPr>
            <w:tcW w:w="1684"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162D8B0C" w14:textId="77777777" w:rsidR="00E43678" w:rsidRDefault="00D9511D">
            <w:pPr>
              <w:rPr>
                <w:color w:val="000000"/>
              </w:rPr>
            </w:pPr>
            <w:r>
              <w:rPr>
                <w:b/>
                <w:color w:val="000000"/>
              </w:rPr>
              <w:t>5</w:t>
            </w:r>
          </w:p>
        </w:tc>
        <w:tc>
          <w:tcPr>
            <w:tcW w:w="1152" w:type="dxa"/>
            <w:gridSpan w:val="2"/>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6C3C0DD2" w14:textId="77777777" w:rsidR="00E43678" w:rsidRDefault="00D9511D">
            <w:r>
              <w:rPr>
                <w:color w:val="000000"/>
              </w:rPr>
              <w:t>писмени испит</w:t>
            </w:r>
          </w:p>
        </w:tc>
        <w:tc>
          <w:tcPr>
            <w:tcW w:w="1724"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56EB0F8C" w14:textId="77777777" w:rsidR="00E43678" w:rsidRDefault="00D9511D">
            <w:pPr>
              <w:rPr>
                <w:rFonts w:ascii="Calibri" w:eastAsia="Calibri" w:hAnsi="Calibri" w:cs="Calibri"/>
                <w:color w:val="000000"/>
              </w:rPr>
            </w:pPr>
            <w:r>
              <w:rPr>
                <w:rFonts w:ascii="Calibri" w:eastAsia="Calibri" w:hAnsi="Calibri" w:cs="Calibri"/>
              </w:rPr>
              <w:t>/</w:t>
            </w:r>
          </w:p>
        </w:tc>
      </w:tr>
      <w:tr w:rsidR="00E43678" w14:paraId="12D232C0" w14:textId="77777777">
        <w:trPr>
          <w:trHeight w:val="227"/>
        </w:trPr>
        <w:tc>
          <w:tcPr>
            <w:tcW w:w="5030"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7876CE12" w14:textId="77777777" w:rsidR="00E43678" w:rsidRDefault="00D9511D">
            <w:r>
              <w:rPr>
                <w:color w:val="000000"/>
              </w:rPr>
              <w:t>активности у току вежби / практична настава</w:t>
            </w:r>
          </w:p>
        </w:tc>
        <w:tc>
          <w:tcPr>
            <w:tcW w:w="1684"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00CC8AFE" w14:textId="77777777" w:rsidR="00E43678" w:rsidRDefault="00D9511D">
            <w:pPr>
              <w:rPr>
                <w:color w:val="000000"/>
              </w:rPr>
            </w:pPr>
            <w:r>
              <w:rPr>
                <w:b/>
                <w:color w:val="000000"/>
              </w:rPr>
              <w:t>5</w:t>
            </w:r>
          </w:p>
        </w:tc>
        <w:tc>
          <w:tcPr>
            <w:tcW w:w="1152" w:type="dxa"/>
            <w:gridSpan w:val="2"/>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41FCEEE4" w14:textId="77777777" w:rsidR="00E43678" w:rsidRDefault="00D9511D">
            <w:r>
              <w:rPr>
                <w:color w:val="000000"/>
              </w:rPr>
              <w:t>усмени испит</w:t>
            </w:r>
          </w:p>
        </w:tc>
        <w:tc>
          <w:tcPr>
            <w:tcW w:w="1724"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1F6578A6" w14:textId="77777777" w:rsidR="00E43678" w:rsidRDefault="00D9511D">
            <w:pPr>
              <w:rPr>
                <w:color w:val="000000"/>
              </w:rPr>
            </w:pPr>
            <w:r>
              <w:rPr>
                <w:b/>
                <w:color w:val="000000"/>
              </w:rPr>
              <w:t>50</w:t>
            </w:r>
          </w:p>
        </w:tc>
      </w:tr>
      <w:tr w:rsidR="00E43678" w14:paraId="792BAB75" w14:textId="77777777">
        <w:trPr>
          <w:trHeight w:val="227"/>
        </w:trPr>
        <w:tc>
          <w:tcPr>
            <w:tcW w:w="5030"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24F1BD4E" w14:textId="77777777" w:rsidR="00E43678" w:rsidRDefault="00D9511D">
            <w:pPr>
              <w:spacing w:after="60"/>
            </w:pPr>
            <w:r>
              <w:rPr>
                <w:color w:val="000000"/>
              </w:rPr>
              <w:t>колоквијум</w:t>
            </w:r>
          </w:p>
        </w:tc>
        <w:tc>
          <w:tcPr>
            <w:tcW w:w="1684"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68F80CBC" w14:textId="77777777" w:rsidR="00E43678" w:rsidRDefault="00D9511D">
            <w:pPr>
              <w:spacing w:after="60"/>
              <w:rPr>
                <w:color w:val="000000"/>
              </w:rPr>
            </w:pPr>
            <w:r>
              <w:rPr>
                <w:b/>
                <w:color w:val="000000"/>
              </w:rPr>
              <w:t>40</w:t>
            </w:r>
          </w:p>
        </w:tc>
        <w:tc>
          <w:tcPr>
            <w:tcW w:w="1152" w:type="dxa"/>
            <w:gridSpan w:val="2"/>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0F0D795E" w14:textId="77777777" w:rsidR="00E43678" w:rsidRDefault="00D9511D">
            <w:pPr>
              <w:spacing w:after="60"/>
            </w:pPr>
            <w:r>
              <w:rPr>
                <w:i/>
                <w:color w:val="000000"/>
              </w:rPr>
              <w:t>..........</w:t>
            </w:r>
          </w:p>
        </w:tc>
        <w:tc>
          <w:tcPr>
            <w:tcW w:w="1724"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vAlign w:val="center"/>
          </w:tcPr>
          <w:p w14:paraId="12F5C24C" w14:textId="77777777" w:rsidR="00E43678" w:rsidRDefault="00E43678">
            <w:pPr>
              <w:rPr>
                <w:rFonts w:ascii="Calibri" w:eastAsia="Calibri" w:hAnsi="Calibri" w:cs="Calibri"/>
                <w:color w:val="000000"/>
                <w:sz w:val="22"/>
                <w:szCs w:val="22"/>
              </w:rPr>
            </w:pPr>
          </w:p>
        </w:tc>
      </w:tr>
    </w:tbl>
    <w:p w14:paraId="1B5D9D25" w14:textId="77777777" w:rsidR="00E43678" w:rsidRDefault="00E43678">
      <w:pPr>
        <w:spacing w:after="200" w:line="276" w:lineRule="auto"/>
        <w:rPr>
          <w:rFonts w:ascii="Calibri" w:eastAsia="Calibri" w:hAnsi="Calibri" w:cs="Calibri"/>
          <w:color w:val="000000"/>
          <w:sz w:val="22"/>
          <w:szCs w:val="22"/>
        </w:rPr>
      </w:pPr>
    </w:p>
    <w:sectPr w:rsidR="00E43678" w:rsidSect="00884F78">
      <w:pgSz w:w="12240" w:h="15840"/>
      <w:pgMar w:top="1440" w:right="1440" w:bottom="1440" w:left="1440" w:header="360" w:footer="36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678"/>
    <w:rsid w:val="00026041"/>
    <w:rsid w:val="00194BB4"/>
    <w:rsid w:val="003E762B"/>
    <w:rsid w:val="00444AAD"/>
    <w:rsid w:val="00884F78"/>
    <w:rsid w:val="00C55B28"/>
    <w:rsid w:val="00D9511D"/>
    <w:rsid w:val="00DC3BFA"/>
    <w:rsid w:val="00E436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64825"/>
  <w15:docId w15:val="{BFCAD117-7D1D-9C45-B443-7B54D2448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78"/>
  </w:style>
  <w:style w:type="paragraph" w:styleId="Heading1">
    <w:name w:val="heading 1"/>
    <w:basedOn w:val="Normal"/>
    <w:next w:val="Normal"/>
    <w:uiPriority w:val="9"/>
    <w:qFormat/>
    <w:rsid w:val="00884F78"/>
    <w:pPr>
      <w:keepNext/>
      <w:keepLines/>
      <w:spacing w:before="480" w:after="120"/>
      <w:outlineLvl w:val="0"/>
    </w:pPr>
    <w:rPr>
      <w:b/>
      <w:sz w:val="48"/>
      <w:szCs w:val="48"/>
    </w:rPr>
  </w:style>
  <w:style w:type="paragraph" w:styleId="Heading2">
    <w:name w:val="heading 2"/>
    <w:basedOn w:val="Normal"/>
    <w:next w:val="Normal"/>
    <w:uiPriority w:val="9"/>
    <w:semiHidden/>
    <w:unhideWhenUsed/>
    <w:qFormat/>
    <w:rsid w:val="00884F78"/>
    <w:pPr>
      <w:keepNext/>
      <w:keepLines/>
      <w:spacing w:before="360" w:after="80"/>
      <w:outlineLvl w:val="1"/>
    </w:pPr>
    <w:rPr>
      <w:b/>
      <w:sz w:val="36"/>
      <w:szCs w:val="36"/>
    </w:rPr>
  </w:style>
  <w:style w:type="paragraph" w:styleId="Heading3">
    <w:name w:val="heading 3"/>
    <w:basedOn w:val="Normal"/>
    <w:next w:val="Normal"/>
    <w:uiPriority w:val="9"/>
    <w:semiHidden/>
    <w:unhideWhenUsed/>
    <w:qFormat/>
    <w:rsid w:val="00884F78"/>
    <w:pPr>
      <w:keepNext/>
      <w:keepLines/>
      <w:spacing w:before="280" w:after="80"/>
      <w:outlineLvl w:val="2"/>
    </w:pPr>
    <w:rPr>
      <w:b/>
      <w:sz w:val="28"/>
      <w:szCs w:val="28"/>
    </w:rPr>
  </w:style>
  <w:style w:type="paragraph" w:styleId="Heading4">
    <w:name w:val="heading 4"/>
    <w:basedOn w:val="Normal"/>
    <w:next w:val="Normal"/>
    <w:uiPriority w:val="9"/>
    <w:semiHidden/>
    <w:unhideWhenUsed/>
    <w:qFormat/>
    <w:rsid w:val="00884F78"/>
    <w:pPr>
      <w:keepNext/>
      <w:keepLines/>
      <w:spacing w:before="240" w:after="40"/>
      <w:outlineLvl w:val="3"/>
    </w:pPr>
    <w:rPr>
      <w:b/>
      <w:sz w:val="24"/>
      <w:szCs w:val="24"/>
    </w:rPr>
  </w:style>
  <w:style w:type="paragraph" w:styleId="Heading5">
    <w:name w:val="heading 5"/>
    <w:basedOn w:val="Normal"/>
    <w:next w:val="Normal"/>
    <w:uiPriority w:val="9"/>
    <w:semiHidden/>
    <w:unhideWhenUsed/>
    <w:qFormat/>
    <w:rsid w:val="00884F78"/>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884F78"/>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884F78"/>
    <w:pPr>
      <w:keepNext/>
      <w:keepLines/>
      <w:spacing w:before="480" w:after="120"/>
    </w:pPr>
    <w:rPr>
      <w:b/>
      <w:sz w:val="72"/>
      <w:szCs w:val="72"/>
    </w:rPr>
  </w:style>
  <w:style w:type="paragraph" w:styleId="Subtitle">
    <w:name w:val="Subtitle"/>
    <w:basedOn w:val="Normal"/>
    <w:next w:val="Normal"/>
    <w:uiPriority w:val="11"/>
    <w:qFormat/>
    <w:rsid w:val="00884F78"/>
    <w:pPr>
      <w:keepNext/>
      <w:keepLines/>
      <w:spacing w:before="360" w:after="80"/>
    </w:pPr>
    <w:rPr>
      <w:rFonts w:ascii="Georgia" w:eastAsia="Georgia" w:hAnsi="Georgia" w:cs="Georgia"/>
      <w:i/>
      <w:color w:val="666666"/>
      <w:sz w:val="48"/>
      <w:szCs w:val="48"/>
    </w:rPr>
  </w:style>
  <w:style w:type="table" w:customStyle="1" w:styleId="a">
    <w:basedOn w:val="TableNormal"/>
    <w:rsid w:val="00884F78"/>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DC3BFA"/>
    <w:rPr>
      <w:color w:val="0000FF" w:themeColor="hyperlink"/>
      <w:u w:val="single"/>
    </w:rPr>
  </w:style>
  <w:style w:type="character" w:customStyle="1" w:styleId="UnresolvedMention1">
    <w:name w:val="Unresolved Mention1"/>
    <w:basedOn w:val="DefaultParagraphFont"/>
    <w:uiPriority w:val="99"/>
    <w:semiHidden/>
    <w:unhideWhenUsed/>
    <w:rsid w:val="00DC3BFA"/>
    <w:rPr>
      <w:color w:val="605E5C"/>
      <w:shd w:val="clear" w:color="auto" w:fill="E1DFDD"/>
    </w:rPr>
  </w:style>
  <w:style w:type="character" w:styleId="CommentReference">
    <w:name w:val="annotation reference"/>
    <w:basedOn w:val="DefaultParagraphFont"/>
    <w:uiPriority w:val="99"/>
    <w:semiHidden/>
    <w:unhideWhenUsed/>
    <w:rsid w:val="00444AAD"/>
    <w:rPr>
      <w:sz w:val="16"/>
      <w:szCs w:val="16"/>
    </w:rPr>
  </w:style>
  <w:style w:type="paragraph" w:styleId="CommentText">
    <w:name w:val="annotation text"/>
    <w:basedOn w:val="Normal"/>
    <w:link w:val="CommentTextChar"/>
    <w:uiPriority w:val="99"/>
    <w:semiHidden/>
    <w:unhideWhenUsed/>
    <w:rsid w:val="00444AAD"/>
  </w:style>
  <w:style w:type="character" w:customStyle="1" w:styleId="CommentTextChar">
    <w:name w:val="Comment Text Char"/>
    <w:basedOn w:val="DefaultParagraphFont"/>
    <w:link w:val="CommentText"/>
    <w:uiPriority w:val="99"/>
    <w:semiHidden/>
    <w:rsid w:val="00444AAD"/>
  </w:style>
  <w:style w:type="paragraph" w:styleId="CommentSubject">
    <w:name w:val="annotation subject"/>
    <w:basedOn w:val="CommentText"/>
    <w:next w:val="CommentText"/>
    <w:link w:val="CommentSubjectChar"/>
    <w:uiPriority w:val="99"/>
    <w:semiHidden/>
    <w:unhideWhenUsed/>
    <w:rsid w:val="00444AAD"/>
    <w:rPr>
      <w:b/>
      <w:bCs/>
    </w:rPr>
  </w:style>
  <w:style w:type="character" w:customStyle="1" w:styleId="CommentSubjectChar">
    <w:name w:val="Comment Subject Char"/>
    <w:basedOn w:val="CommentTextChar"/>
    <w:link w:val="CommentSubject"/>
    <w:uiPriority w:val="99"/>
    <w:semiHidden/>
    <w:rsid w:val="00444AAD"/>
    <w:rPr>
      <w:b/>
      <w:bCs/>
    </w:rPr>
  </w:style>
  <w:style w:type="character" w:styleId="UnresolvedMention">
    <w:name w:val="Unresolved Mention"/>
    <w:basedOn w:val="DefaultParagraphFont"/>
    <w:uiPriority w:val="99"/>
    <w:semiHidden/>
    <w:unhideWhenUsed/>
    <w:rsid w:val="003E76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Standard%209/Tabela%209.1a%20-%20Knjiga%20nastavnika/Aleksandra%20Dragin.docx" TargetMode="External"/><Relationship Id="rId5" Type="http://schemas.openxmlformats.org/officeDocument/2006/relationships/hyperlink" Target="../../Standard%209/Tabela%209.1a%20-%20Knjiga%20nastavnika/Tatjana%20Pivac.doc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DRa4vdvaAdhs1OVPDEb2wQe8Gjg==">AMUW2mU/HkdhqvIfOFA3LBlveyWrnqA/YzalU2xPPWudaJ7C5DCTwAskyzi99f9aSKG8bALivqDgWcBwPccfgfpaB1Pebv/C+9vi9e9x0j2s1j5m4dttRHY=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514</Words>
  <Characters>2932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DGTH</dc:creator>
  <cp:lastModifiedBy>Miroslav Vujičić</cp:lastModifiedBy>
  <cp:revision>2</cp:revision>
  <dcterms:created xsi:type="dcterms:W3CDTF">2023-11-14T19:50:00Z</dcterms:created>
  <dcterms:modified xsi:type="dcterms:W3CDTF">2023-11-14T19:50:00Z</dcterms:modified>
</cp:coreProperties>
</file>