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7D6FB4AE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35FF20D3" w:rsidR="00B65B08" w:rsidRPr="00E20EE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E20E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E20EEB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126429AF" w:rsidR="00B65B08" w:rsidRPr="00954073" w:rsidRDefault="002146C9" w:rsidP="0095407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C53733" w:rsidRPr="00C5373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Организациона култура у туризму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5C5DB2B2" w:rsidR="00B65B08" w:rsidRPr="00954073" w:rsidRDefault="002146C9" w:rsidP="009540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C53733" w:rsidRPr="00FB08C2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Милена Недељковић Кнежевић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690BD188" w:rsidR="00B65B08" w:rsidRPr="00954073" w:rsidRDefault="002146C9" w:rsidP="009540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 предмета</w:t>
            </w:r>
            <w:r w:rsidRPr="00897C8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3709D"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Изборни Т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29D2A8A0" w:rsidR="00B65B08" w:rsidRPr="009540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954073" w:rsidRPr="0095407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5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6C1686C0" w:rsidR="00B65B08" w:rsidRPr="00954073" w:rsidRDefault="002146C9" w:rsidP="009540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954073" w:rsidRPr="0095407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Pr="00802A1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02A19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356AA0FD" w:rsidR="00F61AAF" w:rsidRPr="00F61AAF" w:rsidRDefault="00224F9C" w:rsidP="00F61AAF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02A1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Циљ је студентима пружити знање о важности организационе културе у постизању пословног успеха на тржишту, кроз теоријски оквир и примере из света. </w:t>
            </w:r>
            <w:r w:rsidR="00F61AAF" w:rsidRPr="00F61AAF">
              <w:rPr>
                <w:rFonts w:ascii="Times New Roman" w:hAnsi="Times New Roman"/>
                <w:sz w:val="20"/>
                <w:szCs w:val="20"/>
                <w:lang w:val="sr-Cyrl-RS"/>
              </w:rPr>
              <w:t>Такође</w:t>
            </w:r>
            <w:r w:rsidR="00F61AAF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F61AAF"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>ц</w:t>
            </w:r>
            <w:r w:rsidR="007C375C"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>иљ предмета је упознавање са</w:t>
            </w:r>
            <w:r w:rsidR="007C375C" w:rsidRPr="00802A19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 xml:space="preserve"> принципима организационе културе, њеним карактеристикама и актерима који утичу на њен настанак, развој и промену. </w:t>
            </w:r>
            <w:r w:rsidR="007C375C" w:rsidRPr="00802A1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Предмет</w:t>
            </w:r>
            <w:r w:rsidR="007C375C" w:rsidRPr="00802A1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се фокусира </w:t>
            </w:r>
            <w:r w:rsidR="007C375C" w:rsidRPr="00802A1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7C375C" w:rsidRPr="00802A1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на улогу културе у организационом учинку и лидерству</w:t>
            </w:r>
            <w:r w:rsidR="007C375C" w:rsidRPr="00802A1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7C375C"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 xml:space="preserve"> Поред тога циљ предмета је и разумевање </w:t>
            </w:r>
            <w:r w:rsidR="007C375C" w:rsidRPr="00802A19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>утицај</w:t>
            </w:r>
            <w:r w:rsidR="007C375C"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>а организационе културе</w:t>
            </w:r>
            <w:r w:rsidR="007C375C" w:rsidRPr="00802A19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 xml:space="preserve"> на функционисање организације</w:t>
            </w:r>
            <w:r w:rsidR="00F61AAF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>и пружање основних вештина</w:t>
            </w:r>
            <w:r w:rsidR="00F61AAF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>будућим менаџерима у сектору туристичке делатности за креирање такве организационе климе која може</w:t>
            </w:r>
            <w:r w:rsidR="00F61AAF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>допринети остваривању квалитета рада људских ресурса у пословном окружењу.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F7F57A" w14:textId="16E53B64" w:rsidR="007C375C" w:rsidRPr="00802A19" w:rsidRDefault="002146C9" w:rsidP="00802A1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02A1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15E99621" w:rsidR="00F61AAF" w:rsidRPr="00F61AAF" w:rsidRDefault="007C375C" w:rsidP="00F61AA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>По завршетку овог курса студен</w:t>
            </w: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>ти</w:t>
            </w: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 xml:space="preserve"> ће бити у стању да</w:t>
            </w:r>
            <w:r w:rsidRPr="00802A19">
              <w:rPr>
                <w:rFonts w:ascii="Times New Roman" w:eastAsia="Times New Roman" w:hAnsi="Times New Roman"/>
                <w:sz w:val="20"/>
                <w:szCs w:val="20"/>
              </w:rPr>
              <w:t xml:space="preserve"> разумеју комплексност организационе културе</w:t>
            </w: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 xml:space="preserve">. Моћи ће да </w:t>
            </w: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Latn-RS"/>
              </w:rPr>
              <w:t>идентификују утицај организационе културе на функционисање организације.</w:t>
            </w: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 xml:space="preserve"> Студенти ће бити оспособљени да разумеју утицај националоне културе на организациону културу </w:t>
            </w:r>
            <w:r w:rsidRPr="00802A19">
              <w:rPr>
                <w:rFonts w:ascii="Times New Roman" w:hAnsi="Times New Roman"/>
                <w:sz w:val="20"/>
                <w:szCs w:val="20"/>
              </w:rPr>
              <w:t>преко основних ставова и вредности.</w:t>
            </w:r>
            <w:r w:rsidRPr="00802A1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802A19">
              <w:rPr>
                <w:rStyle w:val="rynqvb"/>
                <w:rFonts w:ascii="Times New Roman" w:hAnsi="Times New Roman"/>
                <w:sz w:val="20"/>
                <w:szCs w:val="20"/>
                <w:lang w:val="sr-Cyrl-RS"/>
              </w:rPr>
              <w:t>Поред тога, у</w:t>
            </w:r>
            <w:r w:rsidRPr="00802A1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спешним усвајањем знања</w:t>
            </w:r>
            <w:r w:rsidR="00F61AA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,</w:t>
            </w:r>
            <w:r w:rsidRPr="00802A1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студенти ће моћи да развију </w:t>
            </w:r>
            <w:r w:rsidRPr="00802A1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индивидуалне вештине и способности које доприносе организационом и тимском успеху</w:t>
            </w:r>
            <w:r w:rsidRPr="00802A1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F61AA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Fonts w:ascii="Times New Roman" w:eastAsia="Times New Roman" w:hAnsi="Times New Roman"/>
                <w:sz w:val="20"/>
                <w:szCs w:val="20"/>
              </w:rPr>
              <w:t xml:space="preserve">По завршетку овог курса, студенти стичу способност </w:t>
            </w:r>
            <w:r w:rsidR="00F61AAF" w:rsidRPr="00802A1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и </w:t>
            </w:r>
            <w:r w:rsidR="00F61AAF" w:rsidRPr="00F61AAF">
              <w:rPr>
                <w:rFonts w:ascii="Times New Roman" w:eastAsia="Times New Roman" w:hAnsi="Times New Roman"/>
                <w:sz w:val="20"/>
                <w:szCs w:val="20"/>
              </w:rPr>
              <w:t>процене концепта организационе климе, кроз</w:t>
            </w:r>
            <w:r w:rsidR="00F61AA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Fonts w:ascii="Times New Roman" w:eastAsia="Times New Roman" w:hAnsi="Times New Roman"/>
                <w:sz w:val="20"/>
                <w:szCs w:val="20"/>
              </w:rPr>
              <w:t>разумевање да се овај конструкт састоји из заједничких перцепција запослених о томе шта је важно у</w:t>
            </w:r>
            <w:r w:rsidR="00F61AA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Fonts w:ascii="Times New Roman" w:eastAsia="Times New Roman" w:hAnsi="Times New Roman"/>
                <w:sz w:val="20"/>
                <w:szCs w:val="20"/>
              </w:rPr>
              <w:t>тој организацији, на основу искуства на послу и перцепције понашања које се очекује од стране</w:t>
            </w:r>
            <w:r w:rsidR="00F61AA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Fonts w:ascii="Times New Roman" w:eastAsia="Times New Roman" w:hAnsi="Times New Roman"/>
                <w:sz w:val="20"/>
                <w:szCs w:val="20"/>
              </w:rPr>
              <w:t>менаџмента и осталих запослених. Поред тога, студенти стичу и основне вештине идентификовања и</w:t>
            </w:r>
            <w:r w:rsidR="00F61AA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61AAF" w:rsidRPr="00F61AAF">
              <w:rPr>
                <w:rFonts w:ascii="Times New Roman" w:eastAsia="Times New Roman" w:hAnsi="Times New Roman"/>
                <w:sz w:val="20"/>
                <w:szCs w:val="20"/>
              </w:rPr>
              <w:t>управљања организационом климом у оквиру туристичке делатности.</w:t>
            </w:r>
          </w:p>
        </w:tc>
      </w:tr>
      <w:tr w:rsidR="00897C8C" w:rsidRPr="00897C8C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897C8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97C8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178B2944" w14:textId="5C0CD8D8" w:rsidR="007C375C" w:rsidRPr="00897C8C" w:rsidRDefault="002146C9" w:rsidP="00802A1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97C8C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7C3EDBC4" w14:textId="77777777" w:rsidR="00F61AAF" w:rsidRPr="00897C8C" w:rsidRDefault="00F61AAF" w:rsidP="00F61AA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14:paraId="55A290F2" w14:textId="65099068" w:rsidR="00F61AAF" w:rsidRPr="00897C8C" w:rsidRDefault="007C375C" w:rsidP="00F61AA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рганизациона култура (дефиниције, релевантне теорије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</w:t>
            </w:r>
            <w:r w:rsidRPr="00897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доминантне вредности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)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;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О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блици организационе културе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;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Организација и окружење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; 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Утицај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националне културе на организациону културу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; 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Организациона култура и модели комуникације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; 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Организациона култура и начин доношења одлука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;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Организациона култура и начин руковођења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;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Спремност на промене и организациона култура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;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Реакција на конфликтне ситуације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Односи међу запосленима</w:t>
            </w:r>
            <w:r w:rsidR="00802A19" w:rsidRPr="00897C8C">
              <w:rPr>
                <w:rStyle w:val="rynqvb"/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  <w:t>Дефинисање организационе климе; Развој конструкта организационе климе; Настајање организационе климе;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  <w:t xml:space="preserve">Обликовање организационе климе; Дефинисање организационе културе; </w:t>
            </w:r>
            <w:r w:rsidR="00802A19" w:rsidRPr="00897C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Разлике организационе климе и културе; Сличности организационе климе и културе; Организациона култура и клима као предуслови иновације у организацијама</w:t>
            </w:r>
            <w:r w:rsidR="00F61AAF" w:rsidRPr="00897C8C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  <w:t>Утицај организационе климе на преношење знања запосленима (и међу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  <w:t>запосленима у организацији); Међузависност организационе климе и менаџмента људских ресурса;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61AAF" w:rsidRPr="00897C8C"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  <w:t>Организациона клима у функцији специфичних циљева.</w:t>
            </w:r>
          </w:p>
          <w:p w14:paraId="3BF4DAE9" w14:textId="589F87D4" w:rsidR="007C375C" w:rsidRPr="00897C8C" w:rsidRDefault="007C375C" w:rsidP="00F61AA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14:paraId="21D1661E" w14:textId="24D731A2" w:rsidR="00B65B08" w:rsidRPr="00897C8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97C8C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45869423" w14:textId="5C2CBF74" w:rsidR="007C375C" w:rsidRPr="00897C8C" w:rsidRDefault="00C53733" w:rsidP="00802A1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Спровођење истраживања и израда семинарских радова у оквиру којих ће студенти, на примерима из света, критички оцењивати концепт организационе културе.</w:t>
            </w:r>
            <w:r w:rsidR="00802A19"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C375C"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Практична настава ће се изводити кроз анализу студија случаја</w:t>
            </w:r>
            <w:r w:rsidR="007C375C"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заснованим на стварним ситуацијама чиме ће се студентима пружити прилика да анализирају сложене ситуације и идентификују узрочне везе, дијагностикују културне факторе и дају препоруке за побољшање учинка. </w:t>
            </w:r>
            <w:r w:rsidR="00A74434"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Поред анализе студије случаја, студенти ће бити укључени и у тимске пројекте, које ће заједнички презентовати у оквиру практичне наставе. Пројекти ће бити фокусирани на утицај организационе културе на функционисање организације, као и на поступак идентификације организационе климе у пословном окружењу.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6148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1A9C166" w14:textId="25D698A0" w:rsidR="00022A6F" w:rsidRPr="00897C8C" w:rsidRDefault="00022A6F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  <w:lang w:val="sr-Latn-RS"/>
              </w:rPr>
            </w:pPr>
            <w:r w:rsidRPr="00897C8C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  <w:lang w:val="sr-Latn-RS"/>
              </w:rPr>
              <w:t>Obavezna literatura</w:t>
            </w:r>
          </w:p>
          <w:p w14:paraId="23EDF1A5" w14:textId="527F47E2" w:rsidR="00022A6F" w:rsidRPr="00897C8C" w:rsidRDefault="00022A6F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Latn-RS"/>
              </w:rPr>
            </w:pPr>
            <w:r w:rsidRPr="00897C8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Latn-RS"/>
              </w:rPr>
              <w:t xml:space="preserve">Džamić, V. (2021). </w:t>
            </w:r>
            <w:r w:rsidRPr="00897C8C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  <w:lang w:val="sr-Latn-RS"/>
              </w:rPr>
              <w:t>Organizaciono ponašanje i korporativna kultura</w:t>
            </w:r>
            <w:r w:rsidRPr="00897C8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Latn-RS"/>
              </w:rPr>
              <w:t>. Univerzitet Singidunum, Beograd.</w:t>
            </w:r>
          </w:p>
          <w:p w14:paraId="45D6B4DB" w14:textId="77777777" w:rsidR="00661487" w:rsidRPr="00897C8C" w:rsidRDefault="00661487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Хаџић, О., Недељковић, М. (2011). </w:t>
            </w:r>
            <w:r w:rsidRPr="00897C8C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>Организационо понашање у сервисном сектору</w:t>
            </w:r>
            <w:r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 Природно-математички факултет, Нови Сад.</w:t>
            </w:r>
          </w:p>
          <w:p w14:paraId="0F10129F" w14:textId="20F14005" w:rsidR="005A6869" w:rsidRPr="00897C8C" w:rsidRDefault="005A6869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I</w:t>
            </w:r>
            <w:r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vancevich, J., Konopaske, R. (2011). </w:t>
            </w:r>
            <w:r w:rsidRPr="00897C8C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Organi</w:t>
            </w:r>
            <w:r w:rsidR="00DE6432" w:rsidRPr="00897C8C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z</w:t>
            </w:r>
            <w:r w:rsidRPr="00897C8C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ational behavior and management</w:t>
            </w:r>
            <w:r w:rsidRPr="00897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. McGraw-Hill, New York. </w:t>
            </w:r>
          </w:p>
          <w:p w14:paraId="7DC6AAB3" w14:textId="49EA93E1" w:rsidR="000606A4" w:rsidRPr="00897C8C" w:rsidRDefault="000606A4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897C8C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>Допунска литература</w:t>
            </w:r>
          </w:p>
          <w:p w14:paraId="7D8B143A" w14:textId="1D0A1FC1" w:rsidR="000606A4" w:rsidRPr="000606A4" w:rsidRDefault="000606A4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14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Мијатов, М. (2018). </w:t>
            </w:r>
            <w:r w:rsidRPr="00DE643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Заступљени типови етичке климе у хотелима Копаоника и њихов утицај на пословне перформансе</w:t>
            </w:r>
            <w:r w:rsidRPr="006614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(докторска дисертација – ментор проф. др Александра Драгин). Природно-математички факултет – Департман за географију, туризам и хотелијерство, Нови Сад.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46"/>
            </w:tblGrid>
            <w:tr w:rsidR="005A6869" w:rsidRPr="005A6869" w14:paraId="02F6BB35" w14:textId="77777777" w:rsidTr="005A6869">
              <w:trPr>
                <w:tblCellSpacing w:w="0" w:type="dxa"/>
              </w:trPr>
              <w:tc>
                <w:tcPr>
                  <w:tcW w:w="9406" w:type="dxa"/>
                  <w:vAlign w:val="center"/>
                  <w:hideMark/>
                </w:tcPr>
                <w:p w14:paraId="76A715A8" w14:textId="45C805D1" w:rsidR="005A6869" w:rsidRPr="005A6869" w:rsidRDefault="005A6869" w:rsidP="005A686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5A6869" w:rsidRPr="005A6869" w14:paraId="00C895A2" w14:textId="77777777" w:rsidTr="005A6869">
              <w:trPr>
                <w:tblCellSpacing w:w="0" w:type="dxa"/>
              </w:trPr>
              <w:tc>
                <w:tcPr>
                  <w:tcW w:w="9406" w:type="dxa"/>
                  <w:vAlign w:val="center"/>
                  <w:hideMark/>
                </w:tcPr>
                <w:p w14:paraId="4E788664" w14:textId="77777777" w:rsidR="005A6869" w:rsidRPr="005A6869" w:rsidRDefault="005A6869" w:rsidP="005A686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40DBA7AB" w14:textId="4E863E47" w:rsidR="004D1C7B" w:rsidRPr="004D1C7B" w:rsidRDefault="004D1C7B" w:rsidP="006614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4821AAD0" w:rsidR="00707FDC" w:rsidRPr="00313657" w:rsidRDefault="009620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 xml:space="preserve">Број часова 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активне наставе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31365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135" w:type="dxa"/>
            <w:gridSpan w:val="2"/>
          </w:tcPr>
          <w:p w14:paraId="6FFD6937" w14:textId="4EA2CBD2" w:rsidR="00707FDC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9620C7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620C7" w:rsidRPr="009620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495" w:type="dxa"/>
            <w:gridSpan w:val="2"/>
          </w:tcPr>
          <w:p w14:paraId="67BA43F0" w14:textId="56722475" w:rsidR="00707FDC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9620C7" w:rsidRPr="009620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2A8883EE" w:rsidR="00B65B08" w:rsidRPr="00DE6432" w:rsidRDefault="00DE6432" w:rsidP="00DE6432">
            <w:pPr>
              <w:pStyle w:val="NormalWeb"/>
              <w:spacing w:before="0" w:beforeAutospacing="0" w:after="60" w:afterAutospacing="0"/>
            </w:pPr>
            <w:r>
              <w:rPr>
                <w:color w:val="000000"/>
                <w:sz w:val="20"/>
                <w:szCs w:val="20"/>
              </w:rPr>
              <w:t>Метода усменог излагања, интерактивна метода, презентација семинарских радова.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2321C3DF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="009620C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6163FFD3" w:rsidR="00B65B08" w:rsidRDefault="002146C9" w:rsidP="009620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0E4416D2" w:rsidR="00B65B08" w:rsidRDefault="002146C9" w:rsidP="001413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144F490E" w:rsidR="00B65B08" w:rsidRPr="0012779A" w:rsidRDefault="00537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val="sr-Latn-RS"/>
              </w:rPr>
            </w:pPr>
            <w:r w:rsidRPr="0012779A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val="sr-Latn-RS"/>
              </w:rPr>
              <w:t>20</w:t>
            </w: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C7A1445" w:rsidR="00B65B08" w:rsidRPr="0012779A" w:rsidRDefault="00537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color w:val="FF0000"/>
                <w:sz w:val="20"/>
                <w:szCs w:val="20"/>
                <w:lang w:val="sr-Latn-RS"/>
              </w:rPr>
            </w:pPr>
            <w:r w:rsidRPr="0012779A">
              <w:rPr>
                <w:rFonts w:ascii="Times New Roman" w:eastAsia="Times New Roman" w:hAnsi="Times New Roman"/>
                <w:b/>
                <w:bCs/>
                <w:iCs/>
                <w:color w:val="FF0000"/>
                <w:sz w:val="20"/>
                <w:szCs w:val="20"/>
                <w:lang w:val="sr-Latn-RS"/>
              </w:rPr>
              <w:t>25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31365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365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883146">
    <w:abstractNumId w:val="1"/>
  </w:num>
  <w:num w:numId="2" w16cid:durableId="1693266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22A6F"/>
    <w:rsid w:val="000606A4"/>
    <w:rsid w:val="000E182A"/>
    <w:rsid w:val="0011040D"/>
    <w:rsid w:val="0012779A"/>
    <w:rsid w:val="00141388"/>
    <w:rsid w:val="00153DE0"/>
    <w:rsid w:val="001D0FF4"/>
    <w:rsid w:val="002146C9"/>
    <w:rsid w:val="00224F9C"/>
    <w:rsid w:val="00275568"/>
    <w:rsid w:val="00313657"/>
    <w:rsid w:val="00341CA0"/>
    <w:rsid w:val="0036496C"/>
    <w:rsid w:val="00424158"/>
    <w:rsid w:val="004D1C7B"/>
    <w:rsid w:val="0053709D"/>
    <w:rsid w:val="005A6869"/>
    <w:rsid w:val="00661487"/>
    <w:rsid w:val="006C42F3"/>
    <w:rsid w:val="00707FDC"/>
    <w:rsid w:val="007C375C"/>
    <w:rsid w:val="00802A19"/>
    <w:rsid w:val="00890EFE"/>
    <w:rsid w:val="00897C8C"/>
    <w:rsid w:val="009136E3"/>
    <w:rsid w:val="00954073"/>
    <w:rsid w:val="009620C7"/>
    <w:rsid w:val="00990E8A"/>
    <w:rsid w:val="00A17519"/>
    <w:rsid w:val="00A21527"/>
    <w:rsid w:val="00A74434"/>
    <w:rsid w:val="00B1003E"/>
    <w:rsid w:val="00B44818"/>
    <w:rsid w:val="00B65B08"/>
    <w:rsid w:val="00C53733"/>
    <w:rsid w:val="00C9249D"/>
    <w:rsid w:val="00C939E4"/>
    <w:rsid w:val="00CF5F68"/>
    <w:rsid w:val="00D53125"/>
    <w:rsid w:val="00DE6432"/>
    <w:rsid w:val="00E20EEB"/>
    <w:rsid w:val="00E67062"/>
    <w:rsid w:val="00F1643A"/>
    <w:rsid w:val="00F4454F"/>
    <w:rsid w:val="00F61AAF"/>
    <w:rsid w:val="00FB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DE64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rynqvb">
    <w:name w:val="rynqvb"/>
    <w:basedOn w:val="DefaultParagraphFont"/>
    <w:rsid w:val="007C375C"/>
  </w:style>
  <w:style w:type="character" w:styleId="Hyperlink">
    <w:name w:val="Hyperlink"/>
    <w:basedOn w:val="DefaultParagraphFont"/>
    <w:uiPriority w:val="99"/>
    <w:unhideWhenUsed/>
    <w:rsid w:val="00A215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15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1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ena%20Nedeljkovic%20Knez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2023-11-14T20:29:00Z</dcterms:created>
  <dcterms:modified xsi:type="dcterms:W3CDTF">2023-11-14T20:29:00Z</dcterms:modified>
</cp:coreProperties>
</file>