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626AE" w14:textId="77777777" w:rsidR="00CD1D8E" w:rsidRDefault="00CD1D8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107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31"/>
        <w:gridCol w:w="2205"/>
        <w:gridCol w:w="1321"/>
        <w:gridCol w:w="2301"/>
        <w:gridCol w:w="1397"/>
      </w:tblGrid>
      <w:tr w:rsidR="00CD1D8E" w14:paraId="67F15D77" w14:textId="77777777">
        <w:tc>
          <w:tcPr>
            <w:tcW w:w="10755" w:type="dxa"/>
            <w:gridSpan w:val="5"/>
          </w:tcPr>
          <w:p w14:paraId="7E06DA4B" w14:textId="77777777" w:rsidR="00CD1D8E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Студијски програм: ОАС Туризам</w:t>
            </w:r>
          </w:p>
        </w:tc>
      </w:tr>
      <w:tr w:rsidR="00CD1D8E" w14:paraId="35798F47" w14:textId="77777777">
        <w:tc>
          <w:tcPr>
            <w:tcW w:w="10755" w:type="dxa"/>
            <w:gridSpan w:val="5"/>
          </w:tcPr>
          <w:p w14:paraId="319B7F90" w14:textId="77777777" w:rsidR="00CD1D8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Назив предмета: Туристичке регије Србије</w:t>
            </w:r>
          </w:p>
        </w:tc>
      </w:tr>
      <w:tr w:rsidR="00CD1D8E" w14:paraId="5CA9F83A" w14:textId="77777777">
        <w:tc>
          <w:tcPr>
            <w:tcW w:w="10755" w:type="dxa"/>
            <w:gridSpan w:val="5"/>
          </w:tcPr>
          <w:p w14:paraId="137A7A13" w14:textId="051A2442" w:rsidR="00CD1D8E" w:rsidRPr="006C45DA" w:rsidRDefault="00000000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 xml:space="preserve">Наставник: </w:t>
            </w:r>
            <w:hyperlink r:id="rId6" w:history="1">
              <w:r w:rsidRPr="006C45DA">
                <w:rPr>
                  <w:rStyle w:val="Hyperlink"/>
                  <w:bCs/>
                  <w:sz w:val="20"/>
                  <w:szCs w:val="20"/>
                </w:rPr>
                <w:t>Мирослав</w:t>
              </w:r>
              <w:r w:rsidR="006C45DA" w:rsidRPr="006C45DA">
                <w:rPr>
                  <w:rStyle w:val="Hyperlink"/>
                  <w:bCs/>
                  <w:sz w:val="20"/>
                  <w:szCs w:val="20"/>
                  <w:lang w:val="sr-Cyrl-RS"/>
                </w:rPr>
                <w:t xml:space="preserve"> Д.</w:t>
              </w:r>
              <w:r w:rsidRPr="006C45DA">
                <w:rPr>
                  <w:rStyle w:val="Hyperlink"/>
                  <w:bCs/>
                  <w:sz w:val="20"/>
                  <w:szCs w:val="20"/>
                </w:rPr>
                <w:t xml:space="preserve"> Вујичић</w:t>
              </w:r>
            </w:hyperlink>
          </w:p>
        </w:tc>
      </w:tr>
      <w:tr w:rsidR="00CD1D8E" w14:paraId="6CA5784F" w14:textId="77777777">
        <w:tc>
          <w:tcPr>
            <w:tcW w:w="10755" w:type="dxa"/>
            <w:gridSpan w:val="5"/>
          </w:tcPr>
          <w:p w14:paraId="7FA4B44A" w14:textId="195267F9" w:rsidR="00CD1D8E" w:rsidRPr="00665868" w:rsidRDefault="00000000">
            <w:pPr>
              <w:rPr>
                <w:sz w:val="20"/>
                <w:szCs w:val="20"/>
                <w:lang w:val="sr-Cyrl-RS"/>
              </w:rPr>
            </w:pPr>
            <w:r>
              <w:rPr>
                <w:b/>
                <w:sz w:val="20"/>
                <w:szCs w:val="20"/>
              </w:rPr>
              <w:t xml:space="preserve">Статус предмета: </w:t>
            </w:r>
            <w:r>
              <w:rPr>
                <w:i/>
                <w:sz w:val="20"/>
                <w:szCs w:val="20"/>
              </w:rPr>
              <w:t>обавезан</w:t>
            </w:r>
            <w:r w:rsidR="00665868">
              <w:rPr>
                <w:i/>
                <w:sz w:val="20"/>
                <w:szCs w:val="20"/>
                <w:lang w:val="sr-Cyrl-RS"/>
              </w:rPr>
              <w:t xml:space="preserve"> (Т), изборни (ЛТ)</w:t>
            </w:r>
          </w:p>
        </w:tc>
      </w:tr>
      <w:tr w:rsidR="00CD1D8E" w14:paraId="22E3E103" w14:textId="77777777">
        <w:tc>
          <w:tcPr>
            <w:tcW w:w="10755" w:type="dxa"/>
            <w:gridSpan w:val="5"/>
          </w:tcPr>
          <w:p w14:paraId="2305719A" w14:textId="77777777" w:rsidR="00CD1D8E" w:rsidRDefault="00000000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Број ЕСПБ: </w:t>
            </w:r>
            <w:r>
              <w:rPr>
                <w:sz w:val="20"/>
                <w:szCs w:val="20"/>
              </w:rPr>
              <w:t>6</w:t>
            </w:r>
          </w:p>
        </w:tc>
      </w:tr>
      <w:tr w:rsidR="00CD1D8E" w14:paraId="65538F4D" w14:textId="77777777">
        <w:tc>
          <w:tcPr>
            <w:tcW w:w="10755" w:type="dxa"/>
            <w:gridSpan w:val="5"/>
          </w:tcPr>
          <w:p w14:paraId="1B3BEF2F" w14:textId="77777777" w:rsidR="00CD1D8E" w:rsidRDefault="00000000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Услов: /</w:t>
            </w:r>
          </w:p>
        </w:tc>
      </w:tr>
      <w:tr w:rsidR="00CD1D8E" w14:paraId="4ACAD545" w14:textId="77777777">
        <w:tc>
          <w:tcPr>
            <w:tcW w:w="10755" w:type="dxa"/>
            <w:gridSpan w:val="5"/>
          </w:tcPr>
          <w:p w14:paraId="51AD63C6" w14:textId="77777777" w:rsidR="00CD1D8E" w:rsidRDefault="00000000">
            <w:pPr>
              <w:rPr>
                <w:b/>
              </w:rPr>
            </w:pPr>
            <w:r>
              <w:rPr>
                <w:b/>
              </w:rPr>
              <w:t>Циљ предмета</w:t>
            </w:r>
          </w:p>
          <w:p w14:paraId="03D984DD" w14:textId="1F9847B2" w:rsidR="00CD1D8E" w:rsidRPr="002C4100" w:rsidRDefault="002C4100">
            <w:pPr>
              <w:jc w:val="both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Стицање основних и практичних знања из области регионализације простора Републике Србије.</w:t>
            </w:r>
          </w:p>
        </w:tc>
      </w:tr>
      <w:tr w:rsidR="00CD1D8E" w14:paraId="05114A63" w14:textId="77777777">
        <w:tc>
          <w:tcPr>
            <w:tcW w:w="10755" w:type="dxa"/>
            <w:gridSpan w:val="5"/>
          </w:tcPr>
          <w:p w14:paraId="6264A0BD" w14:textId="77777777" w:rsidR="00CD1D8E" w:rsidRDefault="00000000">
            <w:pPr>
              <w:rPr>
                <w:b/>
              </w:rPr>
            </w:pPr>
            <w:r>
              <w:rPr>
                <w:b/>
              </w:rPr>
              <w:t xml:space="preserve">Исход предмета </w:t>
            </w:r>
          </w:p>
          <w:p w14:paraId="49776959" w14:textId="42244B40" w:rsidR="00CD1D8E" w:rsidRPr="002C4100" w:rsidRDefault="00665868">
            <w:pPr>
              <w:jc w:val="both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Студенти који успешно </w:t>
            </w:r>
            <w:r w:rsidR="002C4100">
              <w:rPr>
                <w:sz w:val="20"/>
                <w:szCs w:val="20"/>
                <w:lang w:val="sr-Cyrl-RS"/>
              </w:rPr>
              <w:t xml:space="preserve">савладају градиво су у стању да примене стечена знања у другим туристичким предметима. Идентификују </w:t>
            </w:r>
            <w:r>
              <w:rPr>
                <w:sz w:val="20"/>
                <w:szCs w:val="20"/>
              </w:rPr>
              <w:t xml:space="preserve">теоријски и практични аспект истраживања туристички релевантних елемената просторне целине. </w:t>
            </w:r>
            <w:r w:rsidR="002C4100">
              <w:rPr>
                <w:sz w:val="20"/>
                <w:szCs w:val="20"/>
                <w:lang w:val="sr-Cyrl-RS"/>
              </w:rPr>
              <w:t xml:space="preserve">Рашчлањују комплексност регионализације простора према различитим географским и туристичким параметрима. Идентификују у рангирају различите врсте туристичких регија у Србији. Класификују хомогену и комплексну туристичку регију, као и потенцијалну и афирмисану. Интерпретирају историјски развој туризма у Србији. Критички просуђују различите туристичке чиниоце који утичу на регионализацију простора. </w:t>
            </w:r>
          </w:p>
        </w:tc>
      </w:tr>
      <w:tr w:rsidR="00CD1D8E" w14:paraId="53E8034D" w14:textId="77777777">
        <w:tc>
          <w:tcPr>
            <w:tcW w:w="10755" w:type="dxa"/>
            <w:gridSpan w:val="5"/>
          </w:tcPr>
          <w:p w14:paraId="035F5D48" w14:textId="77777777" w:rsidR="00CD1D8E" w:rsidRDefault="00000000">
            <w:pPr>
              <w:rPr>
                <w:b/>
              </w:rPr>
            </w:pPr>
            <w:r>
              <w:rPr>
                <w:b/>
              </w:rPr>
              <w:t>Садржај предмета</w:t>
            </w:r>
          </w:p>
          <w:p w14:paraId="7C8A5829" w14:textId="77777777" w:rsidR="00CD1D8E" w:rsidRDefault="0000000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Теоријска настава</w:t>
            </w:r>
          </w:p>
          <w:p w14:paraId="62652842" w14:textId="3E8C8777" w:rsidR="00CD1D8E" w:rsidRDefault="00000000">
            <w:pPr>
              <w:jc w:val="both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Туристичко-географски положај Србије. Природне туристичке вредности. Рељеф као туристичка вредност. Клима као туристичка вредност. Хидрографија као туристичка вредност. Термоминерни извори. Језера. Реке. Биогеографске туристичке вредности. </w:t>
            </w:r>
            <w:r w:rsidR="00665868">
              <w:rPr>
                <w:sz w:val="20"/>
                <w:szCs w:val="20"/>
                <w:lang w:val="sr-Cyrl-RS"/>
              </w:rPr>
              <w:t xml:space="preserve">Национални паркови Србије. Специјални резервати природе и заштићена подручја. </w:t>
            </w:r>
            <w:r>
              <w:rPr>
                <w:sz w:val="20"/>
                <w:szCs w:val="20"/>
              </w:rPr>
              <w:t>Културна добра као туристички ресурси.</w:t>
            </w:r>
            <w:r w:rsidR="00665868">
              <w:rPr>
                <w:sz w:val="20"/>
                <w:szCs w:val="20"/>
                <w:lang w:val="sr-Cyrl-RS"/>
              </w:rPr>
              <w:t xml:space="preserve"> УНЕСКО културно наслеђе на територији Србије.</w:t>
            </w:r>
            <w:r>
              <w:rPr>
                <w:sz w:val="20"/>
                <w:szCs w:val="20"/>
              </w:rPr>
              <w:t xml:space="preserve"> Материјална основа туризма. Промет туриста. Домаћи туристи. Страни туристи. Појам туристичке регије. Геотектонска подела планинских делова </w:t>
            </w:r>
            <w:r w:rsidR="00665868">
              <w:rPr>
                <w:sz w:val="20"/>
                <w:szCs w:val="20"/>
                <w:lang w:val="sr-Cyrl-RS"/>
              </w:rPr>
              <w:t>Србије.</w:t>
            </w:r>
            <w:r>
              <w:rPr>
                <w:sz w:val="20"/>
                <w:szCs w:val="20"/>
              </w:rPr>
              <w:t xml:space="preserve"> Туристичке афирмисане планине и места</w:t>
            </w:r>
            <w:r w:rsidR="00665868">
              <w:rPr>
                <w:sz w:val="20"/>
                <w:szCs w:val="20"/>
                <w:lang w:val="sr-Cyrl-RS"/>
              </w:rPr>
              <w:t xml:space="preserve">. </w:t>
            </w:r>
            <w:r>
              <w:rPr>
                <w:sz w:val="20"/>
                <w:szCs w:val="20"/>
              </w:rPr>
              <w:t>Појмовно одређење и развој бањског  туризма. Туризам Врњачке Бање, Сокобање, Нишке Бање и Матарушке Бање</w:t>
            </w:r>
            <w:r w:rsidR="00665868">
              <w:rPr>
                <w:sz w:val="20"/>
                <w:szCs w:val="20"/>
                <w:lang w:val="sr-Cyrl-RS"/>
              </w:rPr>
              <w:t xml:space="preserve">, </w:t>
            </w:r>
            <w:r>
              <w:rPr>
                <w:sz w:val="20"/>
                <w:szCs w:val="20"/>
              </w:rPr>
              <w:t>Буковичке бање, Врањск</w:t>
            </w:r>
            <w:r w:rsidR="00665868">
              <w:rPr>
                <w:sz w:val="20"/>
                <w:szCs w:val="20"/>
                <w:lang w:val="sr-Cyrl-RS"/>
              </w:rPr>
              <w:t>е</w:t>
            </w:r>
            <w:r>
              <w:rPr>
                <w:sz w:val="20"/>
                <w:szCs w:val="20"/>
              </w:rPr>
              <w:t xml:space="preserve"> бањ</w:t>
            </w:r>
            <w:r w:rsidR="00665868">
              <w:rPr>
                <w:sz w:val="20"/>
                <w:szCs w:val="20"/>
                <w:lang w:val="sr-Cyrl-RS"/>
              </w:rPr>
              <w:t>е</w:t>
            </w:r>
            <w:r>
              <w:rPr>
                <w:sz w:val="20"/>
                <w:szCs w:val="20"/>
              </w:rPr>
              <w:t xml:space="preserve"> и др. Туризам у градовим Србије. </w:t>
            </w:r>
          </w:p>
          <w:p w14:paraId="0DCBD024" w14:textId="77777777" w:rsidR="00EA309E" w:rsidRDefault="00000000" w:rsidP="00EA309E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Практична настава: </w:t>
            </w:r>
          </w:p>
          <w:p w14:paraId="1F567C37" w14:textId="600A7F8B" w:rsidR="00CD1D8E" w:rsidRDefault="00000000" w:rsidP="00EA30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Упознавање са основама методолошког прилаза проблематике изучавања туристичких ресурса, материјалне основе, туристичке валоризације ресурса. Савладавање вештине примена метода и принципа туристичке регионализације државне просторне целине. Испитивање оптималних могућности поделе простора на туристичке регије у функцији најбољег савлађивања суштине туристичке регионализације. Диференцијација туристичке физиономије</w:t>
            </w:r>
            <w:r w:rsidR="002C4100">
              <w:rPr>
                <w:sz w:val="20"/>
                <w:szCs w:val="20"/>
                <w:lang w:val="sr-Cyrl-RS"/>
              </w:rPr>
              <w:t xml:space="preserve"> </w:t>
            </w:r>
            <w:r>
              <w:rPr>
                <w:sz w:val="20"/>
                <w:szCs w:val="20"/>
              </w:rPr>
              <w:t>изражена посредством поделе кроз специфичне комплексне просторне целине.</w:t>
            </w:r>
          </w:p>
        </w:tc>
      </w:tr>
      <w:tr w:rsidR="00CD1D8E" w14:paraId="72F7A8C3" w14:textId="77777777">
        <w:tc>
          <w:tcPr>
            <w:tcW w:w="10755" w:type="dxa"/>
            <w:gridSpan w:val="5"/>
          </w:tcPr>
          <w:p w14:paraId="06D37918" w14:textId="77777777" w:rsidR="00CD1D8E" w:rsidRDefault="00000000">
            <w:pPr>
              <w:rPr>
                <w:b/>
              </w:rPr>
            </w:pPr>
            <w:r>
              <w:rPr>
                <w:b/>
              </w:rPr>
              <w:t xml:space="preserve">Литература </w:t>
            </w:r>
          </w:p>
          <w:p w14:paraId="798B987E" w14:textId="71B7D453" w:rsidR="00665868" w:rsidRPr="00665868" w:rsidRDefault="00665868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665868">
              <w:rPr>
                <w:i/>
                <w:iCs/>
                <w:sz w:val="20"/>
                <w:szCs w:val="20"/>
                <w:lang w:val="sr-Cyrl-RS"/>
              </w:rPr>
              <w:t>Основна:</w:t>
            </w:r>
          </w:p>
          <w:p w14:paraId="79D93235" w14:textId="77777777" w:rsidR="00CD1D8E" w:rsidRDefault="00000000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Ромелић, Ј. (2007). Туристичке регије Србије. Природно-математички факултет, Департман за географију, туризам и хотелијерство, Нови Сад.</w:t>
            </w:r>
          </w:p>
          <w:p w14:paraId="1C6806B4" w14:textId="77777777" w:rsidR="00CD1D8E" w:rsidRDefault="00000000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Јовичић, Д. (2009). Туристичка географија Србије. Универзитет у Београду, Географски факултет.</w:t>
            </w:r>
          </w:p>
          <w:p w14:paraId="7B40AE7A" w14:textId="20D84EB9" w:rsidR="00665868" w:rsidRPr="00665868" w:rsidRDefault="00665868" w:rsidP="00665868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665868">
              <w:rPr>
                <w:i/>
                <w:iCs/>
                <w:sz w:val="20"/>
                <w:szCs w:val="20"/>
                <w:lang w:val="sr-Cyrl-RS"/>
              </w:rPr>
              <w:t>Допунска:</w:t>
            </w:r>
          </w:p>
          <w:p w14:paraId="5DD5ED26" w14:textId="77777777" w:rsidR="00CD1D8E" w:rsidRDefault="00000000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Марија Белиј (2022). Трансформација бања Србије у савремене центре spa i wellness туризма. Универзитет у Београду, Географски факултет.</w:t>
            </w:r>
          </w:p>
        </w:tc>
      </w:tr>
      <w:tr w:rsidR="00CD1D8E" w14:paraId="59B4CB97" w14:textId="77777777">
        <w:tc>
          <w:tcPr>
            <w:tcW w:w="3531" w:type="dxa"/>
          </w:tcPr>
          <w:p w14:paraId="22123881" w14:textId="77777777" w:rsidR="00CD1D8E" w:rsidRDefault="00000000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Број часова активне наставе: 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3526" w:type="dxa"/>
            <w:gridSpan w:val="2"/>
          </w:tcPr>
          <w:p w14:paraId="300E637D" w14:textId="77777777" w:rsidR="00CD1D8E" w:rsidRDefault="00000000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Теоријска настава: 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3698" w:type="dxa"/>
            <w:gridSpan w:val="2"/>
          </w:tcPr>
          <w:p w14:paraId="330B75D9" w14:textId="77777777" w:rsidR="00CD1D8E" w:rsidRDefault="00000000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Практична настава: </w:t>
            </w:r>
            <w:r>
              <w:rPr>
                <w:sz w:val="20"/>
                <w:szCs w:val="20"/>
              </w:rPr>
              <w:t>2+0+0</w:t>
            </w:r>
          </w:p>
        </w:tc>
      </w:tr>
      <w:tr w:rsidR="00CD1D8E" w14:paraId="5C54039E" w14:textId="77777777">
        <w:tc>
          <w:tcPr>
            <w:tcW w:w="10755" w:type="dxa"/>
            <w:gridSpan w:val="5"/>
          </w:tcPr>
          <w:p w14:paraId="07F33DD2" w14:textId="77777777" w:rsidR="00CD1D8E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Методе извођења наставе</w:t>
            </w:r>
          </w:p>
          <w:p w14:paraId="19974C3A" w14:textId="46CC8BDE" w:rsidR="00CD1D8E" w:rsidRDefault="00665868">
            <w:pPr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Метода усменог излагања, метода разговора, илустративно-демонстративна метода.</w:t>
            </w:r>
          </w:p>
        </w:tc>
      </w:tr>
      <w:tr w:rsidR="00CD1D8E" w14:paraId="25EB4C51" w14:textId="77777777">
        <w:tc>
          <w:tcPr>
            <w:tcW w:w="10755" w:type="dxa"/>
            <w:gridSpan w:val="5"/>
          </w:tcPr>
          <w:p w14:paraId="1E1BA73B" w14:textId="77777777" w:rsidR="00CD1D8E" w:rsidRDefault="000000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Оцена  знања (максимални број поена 100)</w:t>
            </w:r>
          </w:p>
        </w:tc>
      </w:tr>
      <w:tr w:rsidR="00CD1D8E" w14:paraId="6AE20A41" w14:textId="77777777">
        <w:tc>
          <w:tcPr>
            <w:tcW w:w="3531" w:type="dxa"/>
          </w:tcPr>
          <w:p w14:paraId="4EDB76A6" w14:textId="77777777" w:rsidR="00CD1D8E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Предиспитне обавезе</w:t>
            </w:r>
          </w:p>
        </w:tc>
        <w:tc>
          <w:tcPr>
            <w:tcW w:w="2205" w:type="dxa"/>
          </w:tcPr>
          <w:p w14:paraId="5463931F" w14:textId="77777777" w:rsidR="00CD1D8E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поена</w:t>
            </w:r>
          </w:p>
          <w:p w14:paraId="0B0FFDC8" w14:textId="77777777" w:rsidR="00CD1D8E" w:rsidRDefault="00CD1D8E">
            <w:pPr>
              <w:rPr>
                <w:b/>
                <w:sz w:val="20"/>
                <w:szCs w:val="20"/>
              </w:rPr>
            </w:pPr>
          </w:p>
        </w:tc>
        <w:tc>
          <w:tcPr>
            <w:tcW w:w="3622" w:type="dxa"/>
            <w:gridSpan w:val="2"/>
          </w:tcPr>
          <w:p w14:paraId="7F879C3F" w14:textId="77777777" w:rsidR="00CD1D8E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Завршни испит </w:t>
            </w:r>
          </w:p>
        </w:tc>
        <w:tc>
          <w:tcPr>
            <w:tcW w:w="1397" w:type="dxa"/>
          </w:tcPr>
          <w:p w14:paraId="10821EBE" w14:textId="77777777" w:rsidR="00CD1D8E" w:rsidRDefault="00000000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поена</w:t>
            </w:r>
          </w:p>
        </w:tc>
      </w:tr>
      <w:tr w:rsidR="00CD1D8E" w14:paraId="3B92BFB0" w14:textId="77777777">
        <w:tc>
          <w:tcPr>
            <w:tcW w:w="3531" w:type="dxa"/>
          </w:tcPr>
          <w:p w14:paraId="7CB05865" w14:textId="77777777" w:rsidR="00CD1D8E" w:rsidRDefault="00000000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активност у току предавања</w:t>
            </w:r>
          </w:p>
        </w:tc>
        <w:tc>
          <w:tcPr>
            <w:tcW w:w="2205" w:type="dxa"/>
          </w:tcPr>
          <w:p w14:paraId="143C1367" w14:textId="77777777" w:rsidR="00CD1D8E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0-5</w:t>
            </w:r>
          </w:p>
        </w:tc>
        <w:tc>
          <w:tcPr>
            <w:tcW w:w="3622" w:type="dxa"/>
            <w:gridSpan w:val="2"/>
          </w:tcPr>
          <w:p w14:paraId="5FC121DF" w14:textId="77777777" w:rsidR="00CD1D8E" w:rsidRDefault="00000000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писмени испит</w:t>
            </w:r>
          </w:p>
        </w:tc>
        <w:tc>
          <w:tcPr>
            <w:tcW w:w="1397" w:type="dxa"/>
          </w:tcPr>
          <w:p w14:paraId="0F3D3E7B" w14:textId="77777777" w:rsidR="00CD1D8E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/</w:t>
            </w:r>
          </w:p>
        </w:tc>
      </w:tr>
      <w:tr w:rsidR="00CD1D8E" w14:paraId="39EBCF96" w14:textId="77777777">
        <w:tc>
          <w:tcPr>
            <w:tcW w:w="3531" w:type="dxa"/>
          </w:tcPr>
          <w:p w14:paraId="07D095F6" w14:textId="77777777" w:rsidR="00CD1D8E" w:rsidRDefault="00000000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практична настава</w:t>
            </w:r>
          </w:p>
        </w:tc>
        <w:tc>
          <w:tcPr>
            <w:tcW w:w="2205" w:type="dxa"/>
          </w:tcPr>
          <w:p w14:paraId="6815BBBB" w14:textId="77777777" w:rsidR="00CD1D8E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0-5</w:t>
            </w:r>
          </w:p>
        </w:tc>
        <w:tc>
          <w:tcPr>
            <w:tcW w:w="3622" w:type="dxa"/>
            <w:gridSpan w:val="2"/>
          </w:tcPr>
          <w:p w14:paraId="24CFEC12" w14:textId="77777777" w:rsidR="00CD1D8E" w:rsidRDefault="00000000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усмени испт</w:t>
            </w:r>
          </w:p>
        </w:tc>
        <w:tc>
          <w:tcPr>
            <w:tcW w:w="1397" w:type="dxa"/>
          </w:tcPr>
          <w:p w14:paraId="57A04109" w14:textId="77777777" w:rsidR="00CD1D8E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30-45</w:t>
            </w:r>
          </w:p>
        </w:tc>
      </w:tr>
      <w:tr w:rsidR="00CD1D8E" w14:paraId="3DBC5A95" w14:textId="77777777">
        <w:tc>
          <w:tcPr>
            <w:tcW w:w="3531" w:type="dxa"/>
          </w:tcPr>
          <w:p w14:paraId="268774C0" w14:textId="77777777" w:rsidR="00CD1D8E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колоквијум</w:t>
            </w:r>
          </w:p>
        </w:tc>
        <w:tc>
          <w:tcPr>
            <w:tcW w:w="2205" w:type="dxa"/>
          </w:tcPr>
          <w:p w14:paraId="3596B9A0" w14:textId="77777777" w:rsidR="00CD1D8E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20-40</w:t>
            </w:r>
          </w:p>
        </w:tc>
        <w:tc>
          <w:tcPr>
            <w:tcW w:w="3622" w:type="dxa"/>
            <w:gridSpan w:val="2"/>
          </w:tcPr>
          <w:p w14:paraId="725BFABA" w14:textId="77777777" w:rsidR="00CD1D8E" w:rsidRDefault="0000000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..........</w:t>
            </w:r>
          </w:p>
        </w:tc>
        <w:tc>
          <w:tcPr>
            <w:tcW w:w="1397" w:type="dxa"/>
          </w:tcPr>
          <w:p w14:paraId="4DAE95F9" w14:textId="77777777" w:rsidR="00CD1D8E" w:rsidRDefault="00CD1D8E">
            <w:pPr>
              <w:rPr>
                <w:i/>
                <w:sz w:val="20"/>
                <w:szCs w:val="20"/>
              </w:rPr>
            </w:pPr>
          </w:p>
        </w:tc>
      </w:tr>
      <w:tr w:rsidR="00CD1D8E" w14:paraId="6565352B" w14:textId="77777777">
        <w:tc>
          <w:tcPr>
            <w:tcW w:w="3531" w:type="dxa"/>
          </w:tcPr>
          <w:p w14:paraId="7DEBD9E5" w14:textId="77777777" w:rsidR="00CD1D8E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семинарски рад</w:t>
            </w:r>
          </w:p>
        </w:tc>
        <w:tc>
          <w:tcPr>
            <w:tcW w:w="2205" w:type="dxa"/>
          </w:tcPr>
          <w:p w14:paraId="5C13293D" w14:textId="77777777" w:rsidR="00CD1D8E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622" w:type="dxa"/>
            <w:gridSpan w:val="2"/>
          </w:tcPr>
          <w:p w14:paraId="6621FD86" w14:textId="77777777" w:rsidR="00CD1D8E" w:rsidRDefault="00CD1D8E">
            <w:pPr>
              <w:rPr>
                <w:i/>
                <w:sz w:val="20"/>
                <w:szCs w:val="20"/>
              </w:rPr>
            </w:pPr>
          </w:p>
        </w:tc>
        <w:tc>
          <w:tcPr>
            <w:tcW w:w="1397" w:type="dxa"/>
          </w:tcPr>
          <w:p w14:paraId="4107DAE4" w14:textId="77777777" w:rsidR="00CD1D8E" w:rsidRDefault="00CD1D8E">
            <w:pPr>
              <w:rPr>
                <w:i/>
                <w:sz w:val="20"/>
                <w:szCs w:val="20"/>
              </w:rPr>
            </w:pPr>
          </w:p>
        </w:tc>
      </w:tr>
    </w:tbl>
    <w:p w14:paraId="76B59260" w14:textId="77777777" w:rsidR="00CD1D8E" w:rsidRDefault="00CD1D8E"/>
    <w:sectPr w:rsidR="00CD1D8E">
      <w:pgSz w:w="12240" w:h="15840"/>
      <w:pgMar w:top="567" w:right="624" w:bottom="567" w:left="851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Minion Pro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100970"/>
    <w:multiLevelType w:val="multilevel"/>
    <w:tmpl w:val="87D450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4707670"/>
    <w:multiLevelType w:val="multilevel"/>
    <w:tmpl w:val="E0ACD4AE"/>
    <w:lvl w:ilvl="0">
      <w:start w:val="1"/>
      <w:numFmt w:val="decimal"/>
      <w:pStyle w:val="RURALbull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753351079">
    <w:abstractNumId w:val="0"/>
  </w:num>
  <w:num w:numId="2" w16cid:durableId="13813222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1D8E"/>
    <w:rsid w:val="002C4100"/>
    <w:rsid w:val="00665868"/>
    <w:rsid w:val="006C45DA"/>
    <w:rsid w:val="0076639B"/>
    <w:rsid w:val="00A05163"/>
    <w:rsid w:val="00CD1D8E"/>
    <w:rsid w:val="00EA3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4D7A0F6"/>
  <w15:docId w15:val="{80B5E55F-7D8A-5E4F-B1F8-363463AB6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sr-Cyrl-C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3C88"/>
  </w:style>
  <w:style w:type="paragraph" w:styleId="Heading1">
    <w:name w:val="heading 1"/>
    <w:basedOn w:val="Normal"/>
    <w:link w:val="Heading1Char"/>
    <w:uiPriority w:val="9"/>
    <w:qFormat/>
    <w:rsid w:val="00A96D7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link w:val="Heading1"/>
    <w:uiPriority w:val="99"/>
    <w:locked/>
    <w:rsid w:val="00A96D70"/>
    <w:rPr>
      <w:rFonts w:cs="Times New Roman"/>
      <w:b/>
      <w:bCs/>
      <w:kern w:val="36"/>
      <w:sz w:val="48"/>
      <w:szCs w:val="48"/>
    </w:rPr>
  </w:style>
  <w:style w:type="table" w:styleId="TableGrid">
    <w:name w:val="Table Grid"/>
    <w:basedOn w:val="TableNormal"/>
    <w:uiPriority w:val="99"/>
    <w:rsid w:val="006A06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URALbullet">
    <w:name w:val="RURAL bullet"/>
    <w:basedOn w:val="Normal"/>
    <w:uiPriority w:val="99"/>
    <w:rsid w:val="00886EA8"/>
    <w:pPr>
      <w:numPr>
        <w:numId w:val="2"/>
      </w:numPr>
    </w:pPr>
  </w:style>
  <w:style w:type="paragraph" w:customStyle="1" w:styleId="BasicParagraph">
    <w:name w:val="[Basic Paragraph]"/>
    <w:basedOn w:val="Normal"/>
    <w:uiPriority w:val="99"/>
    <w:rsid w:val="00241D8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character" w:customStyle="1" w:styleId="a-size-large">
    <w:name w:val="a-size-large"/>
    <w:uiPriority w:val="99"/>
    <w:rsid w:val="00A96D70"/>
    <w:rPr>
      <w:rFonts w:cs="Times New Roman"/>
    </w:rPr>
  </w:style>
  <w:style w:type="character" w:styleId="Hyperlink">
    <w:name w:val="Hyperlink"/>
    <w:uiPriority w:val="99"/>
    <w:rsid w:val="0078329E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428F0"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7663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../../Standard%209/Tabela%209.1a%20-%20Knjiga%20nastavnika/Miroslav%20D%20Vujicic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6sVgTTrmSwPIAn8twMOlN7nW/wg==">AMUW2mUW5xGPg2iS9BF9naqHaaPMK7XTTUiQUHdFrvhqyWHT+pyWnm7J0iLNsj5L66VX95Wg07DxgQsLjQaWVlyXfvMU5gwcXNL005PNuee8+HH+KQ5czYM=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467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zorana</dc:creator>
  <cp:lastModifiedBy>Miroslav Vujičić</cp:lastModifiedBy>
  <cp:revision>2</cp:revision>
  <dcterms:created xsi:type="dcterms:W3CDTF">2023-11-14T20:02:00Z</dcterms:created>
  <dcterms:modified xsi:type="dcterms:W3CDTF">2023-11-14T20:02:00Z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f0a2ca1d4d1612c2f978a3f83af5d2a16b77738b3cea1647db7718f4d2ef4a50</vt:lpwstr>
  </property>
</Properties>
</file>