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19.999999999998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96"/>
        <w:gridCol w:w="215"/>
        <w:gridCol w:w="698"/>
        <w:gridCol w:w="632"/>
        <w:gridCol w:w="335"/>
        <w:gridCol w:w="138"/>
        <w:gridCol w:w="1330"/>
        <w:gridCol w:w="64"/>
        <w:gridCol w:w="1316"/>
        <w:gridCol w:w="360"/>
        <w:gridCol w:w="1517"/>
        <w:gridCol w:w="334"/>
        <w:gridCol w:w="1130"/>
        <w:gridCol w:w="855"/>
        <w:tblGridChange w:id="0">
          <w:tblGrid>
            <w:gridCol w:w="596"/>
            <w:gridCol w:w="215"/>
            <w:gridCol w:w="698"/>
            <w:gridCol w:w="632"/>
            <w:gridCol w:w="335"/>
            <w:gridCol w:w="138"/>
            <w:gridCol w:w="1330"/>
            <w:gridCol w:w="64"/>
            <w:gridCol w:w="1316"/>
            <w:gridCol w:w="360"/>
            <w:gridCol w:w="1517"/>
            <w:gridCol w:w="334"/>
            <w:gridCol w:w="1130"/>
            <w:gridCol w:w="855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Немања П. Томић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 у Новом Саду (01.04.2022.)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2022.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2016.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Геотуризам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2010.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Геотуризам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8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2009.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Природно-математички факултет,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које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  <w:br w:type="textWrapping"/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Т357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B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Пића са географским пореклом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Предавања/вежбе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Т333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Спортско-рекреативни туризам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Предавања/вежбе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МТ221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C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Управљање спортским догађајима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Предавања/вежбе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ДГ101б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Увод у научни рад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1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Плавша, Ј., Томић, Н. (прихваћено за штампу). Спортско-рекреативни туризам, Уџбеник, Природно математички факултет, Департман за географију, туризам и хотелијерство, Нови Сад.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F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709"/>
              </w:tabs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ff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Tomić, N.,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Antić, A., Tešić, D., Đorđević, T., Momčilović, O. (2021). Canyoning and Geotourism: Assessing Geosites for Canyoning Activities in Western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International Scientific Journal Turizam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, 25(4)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16"/>
                <w:szCs w:val="16"/>
                <w:highlight w:val="white"/>
                <w:rtl w:val="0"/>
              </w:rPr>
              <w:t xml:space="preserve"> 161-177.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D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Томић, Н. (2022). Пића са географским пореклом, Скрипта, Природно математички факултет, Департман за географију, туризам и хотелијерство, Нови Сад.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B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1C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Tomić, N.,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Koković, J., Jakšić, D., Ninkov, J., Vasin, J., Malićanin, M., Marković, S.B. (2017). Terroir of the Tri Morave Wine Region (Serbia) as a Basis for Producing Wines with Geographical Indication.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Geographica Pannonica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21(3), 166-178.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9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Ninkov, J., Jakšić, D.,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Tomić, N.,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Marković, S., Vasiljević, S., Milošević B.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(2017).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Uticaj zemljišta na kvalitet i karakteristike vina. In J. Ninkov (Ed.), Karakteristike zemljišta Niškog vinogradarskog rejona (pp. 15-41). Novi Sad: Institut za ratarstvo i povrtarstvo.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7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38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Vukojević, D., Tomić, N., Marković, N., Mašić, B., Banjanin, T., Bodiroga, R., Đorđević, T., Marjanović, M. (2022). Exploring Wineries and Wine Tourism Potential in the Republic of Srpska, an Emerging Wine Region of Bosnia and Herzegovina.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Sustainability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14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(5), 2485.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5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46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Tomić, N.,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Antić, A., Marković, S.B., Đorđević, T., Zorn, M., Breg Valjavec, M. (2019). Exploring the potential for speleotourism development in eastern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6"/>
                <w:szCs w:val="16"/>
                <w:rtl w:val="0"/>
              </w:rPr>
              <w:t xml:space="preserve">Geoheritage, 11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6"/>
                <w:szCs w:val="16"/>
                <w:rtl w:val="0"/>
              </w:rPr>
              <w:t xml:space="preserve">(2), 359-369.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53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54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Tomić, N., Košić, K. (2020). Developing the Spa Assessment Model (SAM) and its application on the Kopaonik-Jastrebac spa zone (Serbia).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Tourism Management Perspectives,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36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100753.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1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62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Томић, Н. (2021). Стање и перспективе развоја геотуризма Средњег и Доњег Подунавља у Србији. Монографија, Нови Сад: Природно-математички факултет.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F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70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Tomić, N., Božić, S. (2014). A modified geosite assessment model (M-GAM) and its application on the Lazar Canyon area (Serbia).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16"/>
                <w:szCs w:val="16"/>
                <w:rtl w:val="0"/>
              </w:rPr>
              <w:t xml:space="preserve">International Journal of Environmental Research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, 8(4), 1041-1052. 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7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8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9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617 (Scopus), 1222 (Google Scholar)</w:t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9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A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23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A7">
            <w:pPr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A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2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B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Међународни: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B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1B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Студијски боравак у Кини (15-30 мај 2019.) на Институту за геологију и геофизику при Кинеској Академији Наука.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4"/>
            <w:vAlign w:val="center"/>
          </w:tcPr>
          <w:p w:rsidR="00000000" w:rsidDel="00000000" w:rsidP="00000000" w:rsidRDefault="00000000" w:rsidRPr="00000000" w14:paraId="000001C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Остали релевантни подаци:</w:t>
            </w:r>
          </w:p>
          <w:p w:rsidR="00000000" w:rsidDel="00000000" w:rsidP="00000000" w:rsidRDefault="00000000" w:rsidRPr="00000000" w14:paraId="000001C4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Потпредседник Винске Академије Србије.</w:t>
            </w:r>
          </w:p>
          <w:p w:rsidR="00000000" w:rsidDel="00000000" w:rsidP="00000000" w:rsidRDefault="00000000" w:rsidRPr="00000000" w14:paraId="000001C5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Петогодишњи члан комисије за оцењивање вина на такмичењима у Ривици, Жабљу и Кулпину.</w:t>
            </w:r>
          </w:p>
          <w:p w:rsidR="00000000" w:rsidDel="00000000" w:rsidP="00000000" w:rsidRDefault="00000000" w:rsidRPr="00000000" w14:paraId="000001C6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Носилац међународно признатог WSET Level 3 сертификата о познавању вина и алкохолних пића.</w:t>
            </w:r>
          </w:p>
          <w:p w:rsidR="00000000" w:rsidDel="00000000" w:rsidP="00000000" w:rsidRDefault="00000000" w:rsidRPr="00000000" w14:paraId="000001C7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Ангажован на позицији Associate Editor-in-Chief при међународном научном часопису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International Journal of Geoheritage and Parks.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8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Члан међународног пројекта под називом PRONACUL - Promotion of natural and cultural heritage to develop sustainable tourism in protected areas, Interreg ADRION пројекат (2020-2023).</w:t>
            </w:r>
          </w:p>
          <w:p w:rsidR="00000000" w:rsidDel="00000000" w:rsidP="00000000" w:rsidRDefault="00000000" w:rsidRPr="00000000" w14:paraId="000001C9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Руководилац Покрајинског пројекта Туристичко вредновање природног и културног наслеђа Војводине, Покрајински секретаријат за високо образовање и научно-истраживачку делатност (2021-2024).</w:t>
            </w:r>
          </w:p>
        </w:tc>
      </w:tr>
    </w:tbl>
    <w:p w:rsidR="00000000" w:rsidDel="00000000" w:rsidP="00000000" w:rsidRDefault="00000000" w:rsidRPr="00000000" w14:paraId="000001D7">
      <w:pPr>
        <w:tabs>
          <w:tab w:val="left" w:leader="none" w:pos="567"/>
        </w:tabs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68" w:top="851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B6844"/>
    <w:pPr>
      <w:spacing w:after="0" w:line="240" w:lineRule="auto"/>
    </w:pPr>
    <w:rPr>
      <w:rFonts w:ascii="Calibri" w:cs="Times New Roman" w:eastAsia="Calibri" w:hAnsi="Calibri"/>
      <w:kern w:val="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587B5F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587B5F"/>
    <w:rPr>
      <w:rFonts w:ascii="Calibri" w:cs="Times New Roman" w:eastAsia="Calibri" w:hAnsi="Calibri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587B5F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587B5F"/>
    <w:rPr>
      <w:rFonts w:ascii="Calibri" w:cs="Times New Roman" w:eastAsia="Calibri" w:hAnsi="Calibri"/>
      <w:b w:val="1"/>
      <w:bCs w:val="1"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87B5F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87B5F"/>
    <w:rPr>
      <w:rFonts w:ascii="Tahoma" w:cs="Tahoma" w:eastAsia="Calibri" w:hAnsi="Tahoma"/>
      <w:kern w:val="0"/>
      <w:sz w:val="16"/>
      <w:szCs w:val="16"/>
    </w:rPr>
  </w:style>
  <w:style w:type="paragraph" w:styleId="ListParagraph1" w:customStyle="1">
    <w:name w:val="List Paragraph1"/>
    <w:basedOn w:val="Normal"/>
    <w:uiPriority w:val="34"/>
    <w:qFormat w:val="1"/>
    <w:rsid w:val="009704C1"/>
    <w:pPr>
      <w:widowControl w:val="0"/>
      <w:autoSpaceDE w:val="0"/>
      <w:autoSpaceDN w:val="0"/>
      <w:adjustRightInd w:val="0"/>
      <w:ind w:left="720"/>
      <w:contextualSpacing w:val="1"/>
    </w:pPr>
    <w:rPr>
      <w:rFonts w:ascii="Times New Roman" w:eastAsia="Times New Roman" w:hAnsi="Times New Roman"/>
      <w:sz w:val="24"/>
      <w:szCs w:val="24"/>
    </w:rPr>
  </w:style>
  <w:style w:type="paragraph" w:styleId="ColorfulList-Accent11" w:customStyle="1">
    <w:name w:val="Colorful List - Accent 11"/>
    <w:basedOn w:val="Normal"/>
    <w:uiPriority w:val="34"/>
    <w:qFormat w:val="1"/>
    <w:rsid w:val="00E42717"/>
    <w:pPr>
      <w:ind w:left="720"/>
      <w:contextualSpacing w:val="1"/>
    </w:pPr>
    <w:rPr>
      <w:rFonts w:ascii="Times New Roman" w:eastAsia="Times New Roman" w:hAnsi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 w:val="1"/>
    <w:rsid w:val="007F6584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7F6584"/>
    <w:rPr>
      <w:rFonts w:ascii="Calibri" w:cs="Times New Roman" w:eastAsia="Calibri" w:hAnsi="Calibri"/>
      <w:kern w:val="0"/>
    </w:rPr>
  </w:style>
  <w:style w:type="paragraph" w:styleId="Footer">
    <w:name w:val="footer"/>
    <w:basedOn w:val="Normal"/>
    <w:link w:val="FooterChar"/>
    <w:uiPriority w:val="99"/>
    <w:unhideWhenUsed w:val="1"/>
    <w:rsid w:val="007F6584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7F6584"/>
    <w:rPr>
      <w:rFonts w:ascii="Calibri" w:cs="Times New Roman" w:eastAsia="Calibri" w:hAnsi="Calibri"/>
      <w:kern w:val="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hX2IPtV7nnLrZ4GC53kn5oauYNQ==">AMUW2mUmQQGxXfU+KnEEqhjMKQ1VGLlSj7liiCaAX70Z/yCS5shkAg2NB6OcGJZETcydZ3ci3xVepl5cCfO3me5/0LvOV7xcGfaUCpX4owEq73CqhSF0mKY=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2023-05-05T20:25:00Z</dcterms:created>
  <dc:creator>Ljubica Ivanović Bibić</dc:creator>
</cp:coreProperties>
</file>