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2"/>
        <w:gridCol w:w="732"/>
        <w:gridCol w:w="195"/>
        <w:gridCol w:w="164"/>
        <w:gridCol w:w="493"/>
        <w:gridCol w:w="2201"/>
        <w:gridCol w:w="408"/>
        <w:gridCol w:w="262"/>
        <w:gridCol w:w="236"/>
        <w:gridCol w:w="354"/>
        <w:gridCol w:w="688"/>
        <w:gridCol w:w="1290"/>
        <w:gridCol w:w="120"/>
        <w:gridCol w:w="2332"/>
      </w:tblGrid>
      <w:tr w:rsidR="00537FF4" w:rsidRPr="009679D1" w:rsidTr="00996EDF">
        <w:trPr>
          <w:trHeight w:val="260"/>
        </w:trPr>
        <w:tc>
          <w:tcPr>
            <w:tcW w:w="5187" w:type="dxa"/>
            <w:gridSpan w:val="8"/>
            <w:vAlign w:val="center"/>
          </w:tcPr>
          <w:p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20" w:type="dxa"/>
            <w:gridSpan w:val="6"/>
            <w:vAlign w:val="center"/>
          </w:tcPr>
          <w:p w:rsidR="00537FF4" w:rsidRPr="009679D1" w:rsidRDefault="00747E18" w:rsidP="00AE6AC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Весна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560B2">
              <w:rPr>
                <w:rFonts w:ascii="Times New Roman" w:hAnsi="Times New Roman"/>
                <w:sz w:val="20"/>
                <w:szCs w:val="20"/>
              </w:rPr>
              <w:t>Вујасиновић</w:t>
            </w:r>
            <w:proofErr w:type="spellEnd"/>
          </w:p>
        </w:tc>
      </w:tr>
      <w:tr w:rsidR="00537FF4" w:rsidRPr="009679D1" w:rsidTr="00996EDF">
        <w:trPr>
          <w:trHeight w:val="188"/>
        </w:trPr>
        <w:tc>
          <w:tcPr>
            <w:tcW w:w="5187" w:type="dxa"/>
            <w:gridSpan w:val="8"/>
            <w:vAlign w:val="center"/>
          </w:tcPr>
          <w:p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20" w:type="dxa"/>
            <w:gridSpan w:val="6"/>
          </w:tcPr>
          <w:p w:rsidR="00537FF4" w:rsidRPr="009679D1" w:rsidRDefault="009560B2" w:rsidP="00AE6ACE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Доцент</w:t>
            </w:r>
            <w:proofErr w:type="spellEnd"/>
          </w:p>
        </w:tc>
      </w:tr>
      <w:tr w:rsidR="00537FF4" w:rsidRPr="009679D1" w:rsidTr="00996EDF">
        <w:trPr>
          <w:trHeight w:val="427"/>
        </w:trPr>
        <w:tc>
          <w:tcPr>
            <w:tcW w:w="5187" w:type="dxa"/>
            <w:gridSpan w:val="8"/>
            <w:vAlign w:val="center"/>
          </w:tcPr>
          <w:p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679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79D1"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 w:rsidRPr="009679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79D1"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 w:rsidRPr="009679D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20" w:type="dxa"/>
            <w:gridSpan w:val="6"/>
            <w:vAlign w:val="center"/>
          </w:tcPr>
          <w:p w:rsidR="009560B2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(ПМФ</w:t>
            </w:r>
            <w:r w:rsidR="00537FF4" w:rsidRPr="009679D1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  <w:p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9679D1">
              <w:rPr>
                <w:rFonts w:ascii="Times New Roman" w:hAnsi="Times New Roman"/>
                <w:sz w:val="20"/>
                <w:szCs w:val="20"/>
              </w:rPr>
              <w:t>Ун</w:t>
            </w:r>
            <w:r w:rsidR="009560B2">
              <w:rPr>
                <w:rFonts w:ascii="Times New Roman" w:hAnsi="Times New Roman"/>
                <w:sz w:val="20"/>
                <w:szCs w:val="20"/>
              </w:rPr>
              <w:t>иверзитета</w:t>
            </w:r>
            <w:proofErr w:type="spellEnd"/>
            <w:r w:rsidR="009560B2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="009560B2">
              <w:rPr>
                <w:rFonts w:ascii="Times New Roman" w:hAnsi="Times New Roman"/>
                <w:sz w:val="20"/>
                <w:szCs w:val="20"/>
              </w:rPr>
              <w:t>Новом</w:t>
            </w:r>
            <w:proofErr w:type="spellEnd"/>
            <w:r w:rsidR="009560B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9560B2">
              <w:rPr>
                <w:rFonts w:ascii="Times New Roman" w:hAnsi="Times New Roman"/>
                <w:sz w:val="20"/>
                <w:szCs w:val="20"/>
              </w:rPr>
              <w:t>Саду</w:t>
            </w:r>
            <w:proofErr w:type="spellEnd"/>
            <w:r w:rsidR="009560B2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="009560B2"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 w:rsidR="009560B2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9560B2" w:rsidRPr="00E52A17">
              <w:rPr>
                <w:rFonts w:ascii="Times New Roman" w:hAnsi="Times New Roman"/>
                <w:sz w:val="20"/>
                <w:szCs w:val="20"/>
              </w:rPr>
              <w:t>19</w:t>
            </w:r>
            <w:r w:rsidRPr="009679D1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9679D1">
              <w:rPr>
                <w:rFonts w:ascii="Times New Roman" w:hAnsi="Times New Roman"/>
                <w:sz w:val="20"/>
                <w:szCs w:val="20"/>
              </w:rPr>
              <w:t>год</w:t>
            </w:r>
            <w:proofErr w:type="spellEnd"/>
            <w:r w:rsidRPr="009679D1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537FF4" w:rsidRPr="009679D1" w:rsidTr="00996EDF">
        <w:trPr>
          <w:trHeight w:val="269"/>
        </w:trPr>
        <w:tc>
          <w:tcPr>
            <w:tcW w:w="5187" w:type="dxa"/>
            <w:gridSpan w:val="8"/>
            <w:vAlign w:val="center"/>
          </w:tcPr>
          <w:p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20" w:type="dxa"/>
            <w:gridSpan w:val="6"/>
            <w:vAlign w:val="center"/>
          </w:tcPr>
          <w:p w:rsidR="00537FF4" w:rsidRPr="004F32F0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Гастрономија</w:t>
            </w:r>
          </w:p>
        </w:tc>
      </w:tr>
      <w:tr w:rsidR="00537FF4" w:rsidRPr="009679D1" w:rsidTr="00996EDF">
        <w:trPr>
          <w:trHeight w:val="197"/>
        </w:trPr>
        <w:tc>
          <w:tcPr>
            <w:tcW w:w="10207" w:type="dxa"/>
            <w:gridSpan w:val="14"/>
            <w:vAlign w:val="center"/>
          </w:tcPr>
          <w:p w:rsidR="00537FF4" w:rsidRPr="009679D1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537FF4" w:rsidRPr="009679D1" w:rsidTr="00996EDF">
        <w:trPr>
          <w:trHeight w:val="427"/>
        </w:trPr>
        <w:tc>
          <w:tcPr>
            <w:tcW w:w="1464" w:type="dxa"/>
            <w:gridSpan w:val="2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52" w:type="dxa"/>
            <w:gridSpan w:val="3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3107" w:type="dxa"/>
            <w:gridSpan w:val="4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2452" w:type="dxa"/>
            <w:gridSpan w:val="4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332" w:type="dxa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6EDF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537FF4" w:rsidRPr="009679D1" w:rsidTr="00996EDF">
        <w:trPr>
          <w:trHeight w:val="305"/>
        </w:trPr>
        <w:tc>
          <w:tcPr>
            <w:tcW w:w="1464" w:type="dxa"/>
            <w:gridSpan w:val="2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852" w:type="dxa"/>
            <w:gridSpan w:val="3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201</w:t>
            </w:r>
            <w:r w:rsidR="009560B2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9</w:t>
            </w:r>
          </w:p>
        </w:tc>
        <w:tc>
          <w:tcPr>
            <w:tcW w:w="3107" w:type="dxa"/>
            <w:gridSpan w:val="4"/>
            <w:shd w:val="clear" w:color="auto" w:fill="auto"/>
            <w:vAlign w:val="center"/>
          </w:tcPr>
          <w:p w:rsidR="00537FF4" w:rsidRPr="00996EDF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ПМФ</w:t>
            </w:r>
            <w:r w:rsid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96EDF">
              <w:rPr>
                <w:rFonts w:ascii="Times New Roman" w:hAnsi="Times New Roman"/>
                <w:sz w:val="18"/>
                <w:szCs w:val="18"/>
              </w:rPr>
              <w:t>Нови</w:t>
            </w:r>
            <w:proofErr w:type="spellEnd"/>
            <w:r w:rsid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="00996EDF">
              <w:rPr>
                <w:rFonts w:ascii="Times New Roman" w:hAnsi="Times New Roman"/>
                <w:sz w:val="18"/>
                <w:szCs w:val="18"/>
              </w:rPr>
              <w:t>Са</w:t>
            </w:r>
            <w:r w:rsidR="00537FF4" w:rsidRPr="00996EDF">
              <w:rPr>
                <w:rFonts w:ascii="Times New Roman" w:hAnsi="Times New Roman"/>
                <w:sz w:val="18"/>
                <w:szCs w:val="18"/>
              </w:rPr>
              <w:t>д</w:t>
            </w:r>
            <w:proofErr w:type="spellEnd"/>
          </w:p>
        </w:tc>
        <w:tc>
          <w:tcPr>
            <w:tcW w:w="2452" w:type="dxa"/>
            <w:gridSpan w:val="4"/>
            <w:shd w:val="clear" w:color="auto" w:fill="auto"/>
            <w:vAlign w:val="center"/>
          </w:tcPr>
          <w:p w:rsidR="00537FF4" w:rsidRPr="00996EDF" w:rsidRDefault="00357AC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Туризам</w:t>
            </w:r>
          </w:p>
        </w:tc>
        <w:tc>
          <w:tcPr>
            <w:tcW w:w="2332" w:type="dxa"/>
            <w:shd w:val="clear" w:color="auto" w:fill="auto"/>
            <w:vAlign w:val="center"/>
          </w:tcPr>
          <w:p w:rsidR="00537FF4" w:rsidRPr="00996EDF" w:rsidRDefault="00E52A17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  <w:lang w:val="sr-Cyrl-R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RS"/>
              </w:rPr>
              <w:t>Гастрономија</w:t>
            </w:r>
          </w:p>
        </w:tc>
      </w:tr>
      <w:tr w:rsidR="00537FF4" w:rsidRPr="009679D1" w:rsidTr="00996EDF">
        <w:trPr>
          <w:trHeight w:val="251"/>
        </w:trPr>
        <w:tc>
          <w:tcPr>
            <w:tcW w:w="1464" w:type="dxa"/>
            <w:gridSpan w:val="2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852" w:type="dxa"/>
            <w:gridSpan w:val="3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20</w:t>
            </w:r>
            <w:r w:rsidR="009560B2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11</w:t>
            </w:r>
          </w:p>
        </w:tc>
        <w:tc>
          <w:tcPr>
            <w:tcW w:w="3107" w:type="dxa"/>
            <w:gridSpan w:val="4"/>
            <w:shd w:val="clear" w:color="auto" w:fill="auto"/>
            <w:vAlign w:val="center"/>
          </w:tcPr>
          <w:p w:rsidR="00537FF4" w:rsidRPr="00996EDF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Технолошки</w:t>
            </w:r>
            <w:r w:rsidR="00537FF4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4C6FFF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факултет</w:t>
            </w:r>
            <w:r w:rsidR="00996EDF"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57ACD" w:rsidRPr="00996EDF">
              <w:rPr>
                <w:rFonts w:ascii="Times New Roman" w:hAnsi="Times New Roman"/>
                <w:sz w:val="18"/>
                <w:szCs w:val="18"/>
                <w:lang w:val="sr-Cyrl-RS"/>
              </w:rPr>
              <w:t>Нови Сад</w:t>
            </w:r>
          </w:p>
        </w:tc>
        <w:tc>
          <w:tcPr>
            <w:tcW w:w="2452" w:type="dxa"/>
            <w:gridSpan w:val="4"/>
            <w:shd w:val="clear" w:color="auto" w:fill="auto"/>
            <w:vAlign w:val="center"/>
          </w:tcPr>
          <w:p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Технолошко инжењерство</w:t>
            </w:r>
          </w:p>
        </w:tc>
        <w:tc>
          <w:tcPr>
            <w:tcW w:w="2332" w:type="dxa"/>
            <w:shd w:val="clear" w:color="auto" w:fill="auto"/>
            <w:vAlign w:val="center"/>
          </w:tcPr>
          <w:p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Хемија хране</w:t>
            </w:r>
          </w:p>
        </w:tc>
      </w:tr>
      <w:tr w:rsidR="00537FF4" w:rsidRPr="009679D1" w:rsidTr="00996EDF">
        <w:trPr>
          <w:trHeight w:val="427"/>
        </w:trPr>
        <w:tc>
          <w:tcPr>
            <w:tcW w:w="1464" w:type="dxa"/>
            <w:gridSpan w:val="2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852" w:type="dxa"/>
            <w:gridSpan w:val="3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200</w:t>
            </w:r>
            <w:r w:rsidR="009560B2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</w:p>
        </w:tc>
        <w:tc>
          <w:tcPr>
            <w:tcW w:w="3107" w:type="dxa"/>
            <w:gridSpan w:val="4"/>
            <w:shd w:val="clear" w:color="auto" w:fill="auto"/>
            <w:vAlign w:val="center"/>
          </w:tcPr>
          <w:p w:rsidR="00537FF4" w:rsidRPr="00996EDF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Факултет ветеринарске медицине</w:t>
            </w:r>
            <w:r w:rsidR="00537FF4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Београд</w:t>
            </w:r>
          </w:p>
        </w:tc>
        <w:tc>
          <w:tcPr>
            <w:tcW w:w="2452" w:type="dxa"/>
            <w:gridSpan w:val="4"/>
            <w:shd w:val="clear" w:color="auto" w:fill="auto"/>
            <w:vAlign w:val="center"/>
          </w:tcPr>
          <w:p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Квалитет и безбедност хране</w:t>
            </w:r>
          </w:p>
        </w:tc>
        <w:tc>
          <w:tcPr>
            <w:tcW w:w="2332" w:type="dxa"/>
            <w:shd w:val="clear" w:color="auto" w:fill="auto"/>
            <w:vAlign w:val="center"/>
          </w:tcPr>
          <w:p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Квалитет и безбедност хране</w:t>
            </w:r>
          </w:p>
        </w:tc>
      </w:tr>
      <w:tr w:rsidR="00537FF4" w:rsidRPr="009679D1" w:rsidTr="00996EDF">
        <w:trPr>
          <w:trHeight w:val="427"/>
        </w:trPr>
        <w:tc>
          <w:tcPr>
            <w:tcW w:w="1464" w:type="dxa"/>
            <w:gridSpan w:val="2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852" w:type="dxa"/>
            <w:gridSpan w:val="3"/>
            <w:vAlign w:val="center"/>
          </w:tcPr>
          <w:p w:rsidR="00537FF4" w:rsidRPr="00996EDF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2004</w:t>
            </w:r>
          </w:p>
        </w:tc>
        <w:tc>
          <w:tcPr>
            <w:tcW w:w="3107" w:type="dxa"/>
            <w:gridSpan w:val="4"/>
            <w:shd w:val="clear" w:color="auto" w:fill="auto"/>
            <w:vAlign w:val="center"/>
          </w:tcPr>
          <w:p w:rsidR="00537FF4" w:rsidRPr="00996EDF" w:rsidRDefault="009560B2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</w:t>
            </w:r>
            <w:r w:rsidR="004C6FFF"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ехнолошки факултет</w:t>
            </w:r>
            <w:r w:rsidR="00996EDF" w:rsidRPr="00996E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Нови Сад</w:t>
            </w:r>
          </w:p>
        </w:tc>
        <w:tc>
          <w:tcPr>
            <w:tcW w:w="2452" w:type="dxa"/>
            <w:gridSpan w:val="4"/>
            <w:shd w:val="clear" w:color="auto" w:fill="auto"/>
            <w:vAlign w:val="center"/>
          </w:tcPr>
          <w:p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Прехрамбено инжењерство</w:t>
            </w:r>
          </w:p>
        </w:tc>
        <w:tc>
          <w:tcPr>
            <w:tcW w:w="2332" w:type="dxa"/>
            <w:shd w:val="clear" w:color="auto" w:fill="auto"/>
            <w:vAlign w:val="center"/>
          </w:tcPr>
          <w:p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Технологија конзервисане хране</w:t>
            </w:r>
          </w:p>
        </w:tc>
      </w:tr>
      <w:tr w:rsidR="00537FF4" w:rsidRPr="009679D1" w:rsidTr="00996EDF">
        <w:trPr>
          <w:trHeight w:val="206"/>
        </w:trPr>
        <w:tc>
          <w:tcPr>
            <w:tcW w:w="10207" w:type="dxa"/>
            <w:gridSpan w:val="14"/>
            <w:vAlign w:val="center"/>
          </w:tcPr>
          <w:p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679D1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37FF4" w:rsidRPr="009679D1" w:rsidTr="00996EDF">
        <w:trPr>
          <w:trHeight w:val="602"/>
        </w:trPr>
        <w:tc>
          <w:tcPr>
            <w:tcW w:w="732" w:type="dxa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996ED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996EDF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996EDF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537FF4" w:rsidRPr="009679D1" w:rsidTr="00996EDF">
        <w:trPr>
          <w:trHeight w:val="305"/>
        </w:trPr>
        <w:tc>
          <w:tcPr>
            <w:tcW w:w="732" w:type="dxa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1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Т332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:rsidR="00537FF4" w:rsidRPr="00996EDF" w:rsidRDefault="009030BD" w:rsidP="007C33A9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Исхрана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537FF4" w:rsidRPr="00996EDF" w:rsidRDefault="004F32F0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537FF4" w:rsidRPr="00A0415D" w:rsidRDefault="00A0415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537FF4" w:rsidRPr="009679D1" w:rsidTr="00996EDF">
        <w:trPr>
          <w:trHeight w:val="260"/>
        </w:trPr>
        <w:tc>
          <w:tcPr>
            <w:tcW w:w="732" w:type="dxa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2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Т509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Масовна исхрана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537FF4" w:rsidRPr="00996EDF" w:rsidRDefault="00A0415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537FF4" w:rsidRPr="009679D1" w:rsidTr="00996EDF">
        <w:trPr>
          <w:trHeight w:val="427"/>
        </w:trPr>
        <w:tc>
          <w:tcPr>
            <w:tcW w:w="732" w:type="dxa"/>
            <w:shd w:val="clear" w:color="auto" w:fill="auto"/>
            <w:vAlign w:val="center"/>
          </w:tcPr>
          <w:p w:rsidR="00537FF4" w:rsidRPr="00996EDF" w:rsidRDefault="00537FF4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3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Т347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Стандардизација и квалитет у угоститељству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537FF4" w:rsidRPr="00996EDF" w:rsidRDefault="00A0415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537FF4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9030BD" w:rsidRPr="009679D1" w:rsidTr="00996EDF">
        <w:trPr>
          <w:trHeight w:val="269"/>
        </w:trPr>
        <w:tc>
          <w:tcPr>
            <w:tcW w:w="732" w:type="dxa"/>
            <w:shd w:val="clear" w:color="auto" w:fill="auto"/>
            <w:vAlign w:val="center"/>
          </w:tcPr>
          <w:p w:rsidR="009030BD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4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9030BD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Т320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:rsidR="009030BD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Алтернативни методи исхране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9030BD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9030BD" w:rsidRPr="00996EDF" w:rsidRDefault="00A0415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9030BD" w:rsidRPr="00996EDF" w:rsidRDefault="009030BD" w:rsidP="00AE6ACE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996EDF" w:rsidRPr="009679D1" w:rsidTr="00996EDF">
        <w:trPr>
          <w:trHeight w:val="269"/>
        </w:trPr>
        <w:tc>
          <w:tcPr>
            <w:tcW w:w="732" w:type="dxa"/>
            <w:shd w:val="clear" w:color="auto" w:fill="auto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Т508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RS"/>
              </w:rPr>
              <w:t>Гастрономска обрада меса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996EDF" w:rsidRPr="00996EDF" w:rsidRDefault="00A0415D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996EDF" w:rsidRPr="009679D1" w:rsidTr="00996EDF">
        <w:trPr>
          <w:trHeight w:val="260"/>
        </w:trPr>
        <w:tc>
          <w:tcPr>
            <w:tcW w:w="732" w:type="dxa"/>
            <w:shd w:val="clear" w:color="auto" w:fill="auto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27" w:type="dxa"/>
            <w:gridSpan w:val="2"/>
            <w:shd w:val="clear" w:color="auto" w:fill="auto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МТ118</w:t>
            </w:r>
          </w:p>
        </w:tc>
        <w:tc>
          <w:tcPr>
            <w:tcW w:w="2858" w:type="dxa"/>
            <w:gridSpan w:val="3"/>
            <w:shd w:val="clear" w:color="auto" w:fill="auto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RS"/>
              </w:rPr>
              <w:t>Сензорна анализа хране и пића</w:t>
            </w: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1978" w:type="dxa"/>
            <w:gridSpan w:val="2"/>
            <w:shd w:val="clear" w:color="auto" w:fill="auto"/>
            <w:vAlign w:val="center"/>
          </w:tcPr>
          <w:p w:rsidR="00996EDF" w:rsidRPr="00996EDF" w:rsidRDefault="00A0415D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М</w:t>
            </w:r>
            <w:r>
              <w:rPr>
                <w:rFonts w:ascii="Times New Roman" w:hAnsi="Times New Roman"/>
                <w:sz w:val="18"/>
                <w:szCs w:val="18"/>
              </w:rPr>
              <w:t>A</w:t>
            </w:r>
            <w:r>
              <w:rPr>
                <w:rFonts w:ascii="Times New Roman" w:hAnsi="Times New Roman"/>
                <w:sz w:val="18"/>
                <w:szCs w:val="18"/>
                <w:lang w:val="sr-Cyrl-RS"/>
              </w:rPr>
              <w:t>С Туризам</w:t>
            </w:r>
          </w:p>
        </w:tc>
        <w:tc>
          <w:tcPr>
            <w:tcW w:w="2452" w:type="dxa"/>
            <w:gridSpan w:val="2"/>
            <w:shd w:val="clear" w:color="auto" w:fill="auto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MАС</w:t>
            </w:r>
          </w:p>
        </w:tc>
      </w:tr>
      <w:tr w:rsidR="00996EDF" w:rsidRPr="009679D1" w:rsidTr="00996EDF">
        <w:trPr>
          <w:trHeight w:val="287"/>
        </w:trPr>
        <w:tc>
          <w:tcPr>
            <w:tcW w:w="10207" w:type="dxa"/>
            <w:gridSpan w:val="14"/>
            <w:vAlign w:val="center"/>
          </w:tcPr>
          <w:p w:rsidR="00996EDF" w:rsidRPr="009679D1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96EDF" w:rsidRPr="009679D1" w:rsidTr="00996EDF">
        <w:trPr>
          <w:trHeight w:val="427"/>
        </w:trPr>
        <w:tc>
          <w:tcPr>
            <w:tcW w:w="732" w:type="dxa"/>
            <w:vAlign w:val="center"/>
          </w:tcPr>
          <w:p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:rsidR="00996EDF" w:rsidRPr="00827484" w:rsidRDefault="00A54685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Rabrenović, B., </w:t>
            </w:r>
            <w:r w:rsidRPr="00827484">
              <w:rPr>
                <w:rFonts w:ascii="Times New Roman" w:hAnsi="Times New Roman"/>
                <w:b/>
                <w:sz w:val="16"/>
                <w:szCs w:val="16"/>
                <w:lang w:val="sl-SI"/>
              </w:rPr>
              <w:t>Vujasinović, V.</w:t>
            </w: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 (2022). Industrial hempseed oil and lipids: Processing and properties (Chapter 5). Editors: Pojić, M., Tiwari, B., In: Industrial Hemp: Food and Nutraceutical Applications,  Academic Press, ISBN: 987-0-323-90910-</w:t>
            </w:r>
            <w:r w:rsidRPr="007C33A9">
              <w:rPr>
                <w:rFonts w:ascii="Times New Roman" w:hAnsi="Times New Roman"/>
                <w:b/>
                <w:sz w:val="16"/>
                <w:szCs w:val="16"/>
                <w:lang w:val="sl-SI"/>
              </w:rPr>
              <w:t>5   (M13)</w:t>
            </w:r>
          </w:p>
        </w:tc>
      </w:tr>
      <w:tr w:rsidR="00996EDF" w:rsidRPr="00950DBB" w:rsidTr="00996EDF">
        <w:trPr>
          <w:trHeight w:val="427"/>
        </w:trPr>
        <w:tc>
          <w:tcPr>
            <w:tcW w:w="732" w:type="dxa"/>
            <w:vAlign w:val="center"/>
          </w:tcPr>
          <w:p w:rsidR="00996EDF" w:rsidRPr="00950DBB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:rsidR="00996EDF" w:rsidRPr="00827484" w:rsidRDefault="00996EDF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>Radočaj</w:t>
            </w:r>
            <w:proofErr w:type="spellEnd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 xml:space="preserve"> O., </w:t>
            </w:r>
            <w:proofErr w:type="spellStart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>Dimić</w:t>
            </w:r>
            <w:proofErr w:type="spellEnd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 xml:space="preserve"> E., </w:t>
            </w:r>
            <w:proofErr w:type="spellStart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>Diosady</w:t>
            </w:r>
            <w:proofErr w:type="spellEnd"/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 xml:space="preserve"> L. L.,</w:t>
            </w:r>
            <w:r w:rsidRPr="00827484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827484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>Vujasinović</w:t>
            </w:r>
            <w:proofErr w:type="spellEnd"/>
            <w:r w:rsidRPr="00827484">
              <w:rPr>
                <w:rFonts w:ascii="Times New Roman" w:eastAsiaTheme="minorHAnsi" w:hAnsi="Times New Roman"/>
                <w:b/>
                <w:bCs/>
                <w:sz w:val="16"/>
                <w:szCs w:val="16"/>
              </w:rPr>
              <w:t xml:space="preserve"> V. </w:t>
            </w:r>
            <w:r w:rsidRPr="00827484">
              <w:rPr>
                <w:rFonts w:ascii="Times New Roman" w:eastAsiaTheme="minorHAnsi" w:hAnsi="Times New Roman"/>
                <w:sz w:val="16"/>
                <w:szCs w:val="16"/>
              </w:rPr>
              <w:t>(2017). Use of hull-less pumpkin (Cucurbita pepo-L) seed oil press-cake in gluten-free cookies: nutritional and mineral profile. Agro Food Industry Hi-tech, 28 (2), 28-31. ISSN: 1722-6996</w:t>
            </w:r>
            <w:proofErr w:type="gramStart"/>
            <w:r w:rsidRPr="007C33A9">
              <w:rPr>
                <w:rFonts w:ascii="Times New Roman" w:eastAsiaTheme="minorHAnsi" w:hAnsi="Times New Roman"/>
                <w:b/>
                <w:sz w:val="16"/>
                <w:szCs w:val="16"/>
              </w:rPr>
              <w:t>.</w:t>
            </w:r>
            <w:r w:rsidR="007C33A9" w:rsidRPr="007C33A9">
              <w:rPr>
                <w:rFonts w:ascii="Times New Roman" w:eastAsiaTheme="minorHAnsi" w:hAnsi="Times New Roman"/>
                <w:b/>
                <w:sz w:val="16"/>
                <w:szCs w:val="16"/>
              </w:rPr>
              <w:t xml:space="preserve">   </w:t>
            </w:r>
            <w:proofErr w:type="gramEnd"/>
            <w:r w:rsidR="00A54685" w:rsidRPr="007C33A9">
              <w:rPr>
                <w:rFonts w:ascii="Times New Roman" w:eastAsiaTheme="minorHAnsi" w:hAnsi="Times New Roman"/>
                <w:b/>
                <w:sz w:val="16"/>
                <w:szCs w:val="16"/>
              </w:rPr>
              <w:t>(M23)</w:t>
            </w:r>
          </w:p>
        </w:tc>
      </w:tr>
      <w:tr w:rsidR="00996EDF" w:rsidRPr="009679D1" w:rsidTr="00996EDF">
        <w:trPr>
          <w:trHeight w:val="427"/>
        </w:trPr>
        <w:tc>
          <w:tcPr>
            <w:tcW w:w="732" w:type="dxa"/>
            <w:vAlign w:val="center"/>
          </w:tcPr>
          <w:p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:rsidR="00996EDF" w:rsidRPr="00827484" w:rsidRDefault="00A85DA6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27484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Vujasinović V.</w:t>
            </w:r>
            <w:r w:rsidRPr="00827484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, Bjelica M., Čorbo S., Dimić S., Rabrenović B. (2021). </w:t>
            </w:r>
            <w:r w:rsidRPr="00827484">
              <w:rPr>
                <w:rFonts w:ascii="Times New Roman" w:hAnsi="Times New Roman"/>
                <w:sz w:val="16"/>
                <w:szCs w:val="16"/>
                <w:lang w:val="sr-Cyrl-CS"/>
              </w:rPr>
              <w:t>Characterization of the chemical and nutritive quality of cold-pressed grape seed oils produced in the Republic of Serbia from different red and white grape varieties</w:t>
            </w:r>
            <w:r w:rsidRPr="00827484">
              <w:rPr>
                <w:rFonts w:ascii="Times New Roman" w:hAnsi="Times New Roman"/>
                <w:sz w:val="16"/>
                <w:szCs w:val="16"/>
                <w:lang w:val="sr-Latn-CS"/>
              </w:rPr>
              <w:t>. Gra</w:t>
            </w:r>
            <w:r w:rsidR="007C33A9">
              <w:rPr>
                <w:rFonts w:ascii="Times New Roman" w:hAnsi="Times New Roman"/>
                <w:sz w:val="16"/>
                <w:szCs w:val="16"/>
                <w:lang w:val="sr-Latn-CS"/>
              </w:rPr>
              <w:t>sas y Aceites, 72 (2), e411. doi</w:t>
            </w:r>
            <w:r w:rsidRPr="00827484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: </w:t>
            </w:r>
            <w:hyperlink r:id="rId5" w:history="1">
              <w:r w:rsidRPr="007C33A9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  <w:lang w:val="sr-Latn-CS"/>
                </w:rPr>
                <w:t>https://doi.org/10.3989/gya.0222201</w:t>
              </w:r>
            </w:hyperlink>
            <w:r w:rsidR="007C33A9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  (</w:t>
            </w:r>
            <w:r w:rsidR="007C33A9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M</w:t>
            </w:r>
            <w:r w:rsidRPr="007C33A9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23)</w:t>
            </w:r>
          </w:p>
        </w:tc>
      </w:tr>
      <w:tr w:rsidR="00996EDF" w:rsidRPr="009679D1" w:rsidTr="00996EDF">
        <w:trPr>
          <w:trHeight w:val="427"/>
        </w:trPr>
        <w:tc>
          <w:tcPr>
            <w:tcW w:w="732" w:type="dxa"/>
            <w:vAlign w:val="center"/>
          </w:tcPr>
          <w:p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:rsidR="00996EDF" w:rsidRPr="00827484" w:rsidRDefault="00A24BB5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27484">
              <w:rPr>
                <w:rFonts w:ascii="Times New Roman" w:eastAsiaTheme="minorHAnsi" w:hAnsi="Times New Roman"/>
                <w:sz w:val="16"/>
                <w:szCs w:val="16"/>
                <w:lang w:val="sl-SI"/>
              </w:rPr>
              <w:t xml:space="preserve">Paunović, D., Demin, M., Petrović, T., Marković, J., </w:t>
            </w:r>
            <w:r w:rsidRPr="00827484">
              <w:rPr>
                <w:rFonts w:ascii="Times New Roman" w:eastAsiaTheme="minorHAnsi" w:hAnsi="Times New Roman"/>
                <w:b/>
                <w:sz w:val="16"/>
                <w:szCs w:val="16"/>
                <w:lang w:val="sl-SI"/>
              </w:rPr>
              <w:t>Vujasinović, V</w:t>
            </w:r>
            <w:r w:rsidRPr="00827484">
              <w:rPr>
                <w:rFonts w:ascii="Times New Roman" w:eastAsiaTheme="minorHAnsi" w:hAnsi="Times New Roman"/>
                <w:sz w:val="16"/>
                <w:szCs w:val="16"/>
                <w:lang w:val="sl-SI"/>
              </w:rPr>
              <w:t xml:space="preserve">., Rabrenović, B. (2020). Quality parameters of sunflower oil and palm olein during multiple frying. Journal of Agricultural Sciences, 65 (1), 61-68. ISSN 1450-8109. </w:t>
            </w:r>
            <w:hyperlink r:id="rId6" w:history="1">
              <w:r w:rsidRPr="007C33A9">
                <w:rPr>
                  <w:rStyle w:val="Hyperlink"/>
                  <w:rFonts w:ascii="Times New Roman" w:eastAsiaTheme="minorHAnsi" w:hAnsi="Times New Roman"/>
                  <w:color w:val="auto"/>
                  <w:sz w:val="16"/>
                  <w:szCs w:val="16"/>
                  <w:u w:val="none"/>
                  <w:lang w:val="en-GB"/>
                </w:rPr>
                <w:t>https://doi.org/10.2298/JAS2001061P</w:t>
              </w:r>
            </w:hyperlink>
            <w:r w:rsidRPr="00827484">
              <w:rPr>
                <w:rFonts w:ascii="Times New Roman" w:eastAsiaTheme="minorHAnsi" w:hAnsi="Times New Roman"/>
                <w:sz w:val="16"/>
                <w:szCs w:val="16"/>
                <w:lang w:val="en-GB"/>
              </w:rPr>
              <w:t xml:space="preserve">   </w:t>
            </w:r>
            <w:r w:rsidR="007C33A9">
              <w:rPr>
                <w:rFonts w:ascii="Times New Roman" w:eastAsiaTheme="minorHAnsi" w:hAnsi="Times New Roman"/>
                <w:sz w:val="16"/>
                <w:szCs w:val="16"/>
                <w:lang w:val="en-GB"/>
              </w:rPr>
              <w:t>(</w:t>
            </w:r>
            <w:r w:rsidR="007C33A9">
              <w:rPr>
                <w:rFonts w:ascii="Times New Roman" w:eastAsiaTheme="minorHAnsi" w:hAnsi="Times New Roman"/>
                <w:b/>
                <w:sz w:val="16"/>
                <w:szCs w:val="16"/>
                <w:lang w:val="en-GB"/>
              </w:rPr>
              <w:t>M</w:t>
            </w:r>
            <w:r w:rsidRPr="007C33A9">
              <w:rPr>
                <w:rFonts w:ascii="Times New Roman" w:eastAsiaTheme="minorHAnsi" w:hAnsi="Times New Roman"/>
                <w:b/>
                <w:sz w:val="16"/>
                <w:szCs w:val="16"/>
                <w:lang w:val="en-GB"/>
              </w:rPr>
              <w:t>24)</w:t>
            </w:r>
          </w:p>
        </w:tc>
      </w:tr>
      <w:tr w:rsidR="00996EDF" w:rsidRPr="009679D1" w:rsidTr="00996EDF">
        <w:trPr>
          <w:trHeight w:val="427"/>
        </w:trPr>
        <w:tc>
          <w:tcPr>
            <w:tcW w:w="732" w:type="dxa"/>
            <w:vAlign w:val="center"/>
          </w:tcPr>
          <w:p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:rsidR="00996EDF" w:rsidRPr="00827484" w:rsidRDefault="00A40CC1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Paunović, D., Marković, J., Stričević, L., </w:t>
            </w:r>
            <w:r w:rsidRPr="00827484">
              <w:rPr>
                <w:rFonts w:ascii="Times New Roman" w:hAnsi="Times New Roman"/>
                <w:b/>
                <w:sz w:val="16"/>
                <w:szCs w:val="16"/>
                <w:lang w:val="sl-SI"/>
              </w:rPr>
              <w:t>Vujasinović, V.</w:t>
            </w: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, Stevanović, M., Ćirković, A., Rabrenović, B. (2021). The influence of cutting thickness, shape and moisture content on oil absorption during potato frying. Journal of Agricultural Sciences, 66 (1), 67-74. ISSN 1450-8109. </w:t>
            </w:r>
            <w:hyperlink r:id="rId7" w:history="1">
              <w:r w:rsidRPr="007C33A9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  <w:lang w:val="en-GB"/>
                </w:rPr>
                <w:t>https://doi.org/10.2298/JAS2101067P</w:t>
              </w:r>
            </w:hyperlink>
            <w:r w:rsidR="007C33A9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 </w:t>
            </w:r>
            <w:r w:rsidR="007C33A9" w:rsidRPr="007C33A9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(M</w:t>
            </w:r>
            <w:r w:rsidRPr="007C33A9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24)</w:t>
            </w:r>
          </w:p>
        </w:tc>
      </w:tr>
      <w:tr w:rsidR="00996EDF" w:rsidRPr="009679D1" w:rsidTr="00996EDF">
        <w:trPr>
          <w:trHeight w:val="427"/>
        </w:trPr>
        <w:tc>
          <w:tcPr>
            <w:tcW w:w="732" w:type="dxa"/>
            <w:vAlign w:val="center"/>
          </w:tcPr>
          <w:p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:rsidR="00996EDF" w:rsidRPr="00827484" w:rsidRDefault="007C33A9" w:rsidP="00996EDF">
            <w:pPr>
              <w:shd w:val="clear" w:color="auto" w:fill="FFFFFF"/>
              <w:rPr>
                <w:rFonts w:ascii="Times New Roman" w:eastAsia="Times New Roman" w:hAnsi="Times New Roman"/>
                <w:sz w:val="16"/>
                <w:szCs w:val="16"/>
              </w:rPr>
            </w:pPr>
            <w:hyperlink r:id="rId8" w:history="1">
              <w:r w:rsidR="00996EDF" w:rsidRPr="00827484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</w:rPr>
                <w:t>Kalenjuk Pivarski, B.</w:t>
              </w:r>
            </w:hyperlink>
            <w:r w:rsidR="00996EDF" w:rsidRPr="00827484">
              <w:rPr>
                <w:rFonts w:ascii="Times New Roman" w:eastAsia="Times New Roman" w:hAnsi="Times New Roman"/>
                <w:sz w:val="16"/>
                <w:szCs w:val="16"/>
              </w:rPr>
              <w:t>, </w:t>
            </w:r>
            <w:hyperlink r:id="rId9" w:history="1">
              <w:r w:rsidR="00996EDF" w:rsidRPr="00827484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</w:rPr>
                <w:t>Grubor, B.</w:t>
              </w:r>
            </w:hyperlink>
            <w:r w:rsidR="00996EDF" w:rsidRPr="00827484">
              <w:rPr>
                <w:rFonts w:ascii="Times New Roman" w:eastAsia="Times New Roman" w:hAnsi="Times New Roman"/>
                <w:sz w:val="16"/>
                <w:szCs w:val="16"/>
              </w:rPr>
              <w:t>, </w:t>
            </w:r>
            <w:hyperlink r:id="rId10" w:history="1">
              <w:r w:rsidR="00996EDF" w:rsidRPr="00827484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</w:rPr>
                <w:t>Banjac, M.</w:t>
              </w:r>
            </w:hyperlink>
            <w:r w:rsidR="00996EDF" w:rsidRPr="00827484">
              <w:rPr>
                <w:rFonts w:ascii="Times New Roman" w:eastAsia="Times New Roman" w:hAnsi="Times New Roman"/>
                <w:sz w:val="16"/>
                <w:szCs w:val="16"/>
              </w:rPr>
              <w:t>, ...</w:t>
            </w:r>
            <w:hyperlink r:id="rId11" w:history="1">
              <w:r w:rsidR="00996EDF" w:rsidRPr="00827484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</w:rPr>
                <w:t>Vujasinović, V.</w:t>
              </w:r>
            </w:hyperlink>
            <w:r w:rsidR="00996EDF" w:rsidRPr="00827484">
              <w:rPr>
                <w:rFonts w:ascii="Times New Roman" w:eastAsia="Times New Roman" w:hAnsi="Times New Roman"/>
                <w:sz w:val="16"/>
                <w:szCs w:val="16"/>
              </w:rPr>
              <w:t>, </w:t>
            </w:r>
            <w:hyperlink r:id="rId12" w:history="1">
              <w:r w:rsidR="00996EDF" w:rsidRPr="00827484">
                <w:rPr>
                  <w:rFonts w:ascii="Times New Roman" w:eastAsia="Times New Roman" w:hAnsi="Times New Roman"/>
                  <w:sz w:val="16"/>
                  <w:szCs w:val="16"/>
                  <w:bdr w:val="none" w:sz="0" w:space="0" w:color="auto" w:frame="1"/>
                </w:rPr>
                <w:t>Stošić, T.</w:t>
              </w:r>
            </w:hyperlink>
            <w:r w:rsidR="00996EDF" w:rsidRPr="00827484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 xml:space="preserve"> (2023):</w:t>
            </w:r>
            <w:r w:rsidR="00996EDF" w:rsidRPr="00827484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</w:t>
            </w:r>
            <w:r w:rsidR="00996EDF" w:rsidRPr="00827484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The Sustainability of Gastronomic Heritage and Its Significance for Regional Tourism Development</w:t>
            </w:r>
            <w:r w:rsidR="00996EDF" w:rsidRPr="00827484">
              <w:rPr>
                <w:rFonts w:ascii="Times New Roman" w:eastAsia="Times New Roman" w:hAnsi="Times New Roman"/>
                <w:bCs/>
                <w:sz w:val="16"/>
                <w:szCs w:val="16"/>
                <w:lang w:val="sr-Cyrl-RS"/>
              </w:rPr>
              <w:t xml:space="preserve">, </w:t>
            </w:r>
            <w:r w:rsidR="00996EDF" w:rsidRPr="00827484">
              <w:rPr>
                <w:rFonts w:ascii="Times New Roman" w:eastAsia="Times New Roman" w:hAnsi="Times New Roman"/>
                <w:sz w:val="16"/>
                <w:szCs w:val="16"/>
              </w:rPr>
              <w:t>Heritage, 6(4), pp. 3402–3417</w:t>
            </w:r>
            <w:r w:rsidR="00996EDF" w:rsidRPr="00827484">
              <w:rPr>
                <w:rFonts w:ascii="Times New Roman" w:eastAsia="Times New Roman" w:hAnsi="Times New Roman"/>
                <w:sz w:val="16"/>
                <w:szCs w:val="16"/>
                <w:lang w:val="sr-Cyrl-RS"/>
              </w:rPr>
              <w:t>.</w:t>
            </w:r>
            <w:r w:rsidR="00A85DA6" w:rsidRPr="00827484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hyperlink r:id="rId13" w:history="1">
              <w:r w:rsidR="00A85DA6" w:rsidRPr="007C33A9">
                <w:rPr>
                  <w:rStyle w:val="Hyperlink"/>
                  <w:rFonts w:ascii="Times New Roman" w:eastAsia="Times New Roman" w:hAnsi="Times New Roman"/>
                  <w:color w:val="auto"/>
                  <w:sz w:val="16"/>
                  <w:szCs w:val="16"/>
                  <w:u w:val="none"/>
                  <w:lang w:val="sr-Latn-CS"/>
                </w:rPr>
                <w:t>https://</w:t>
              </w:r>
              <w:r w:rsidR="00A85DA6" w:rsidRPr="007C33A9">
                <w:rPr>
                  <w:rStyle w:val="Hyperlink"/>
                  <w:rFonts w:ascii="Times New Roman" w:eastAsia="Times New Roman" w:hAnsi="Times New Roman"/>
                  <w:bCs/>
                  <w:color w:val="auto"/>
                  <w:sz w:val="16"/>
                  <w:szCs w:val="16"/>
                  <w:u w:val="none"/>
                </w:rPr>
                <w:t>doi.org/10.3390/heritage6040180</w:t>
              </w:r>
            </w:hyperlink>
            <w:r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</w:t>
            </w:r>
            <w:r w:rsidRPr="007C33A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(M</w:t>
            </w:r>
            <w:r w:rsidR="00A85DA6" w:rsidRPr="007C33A9">
              <w:rPr>
                <w:rFonts w:ascii="Times New Roman" w:eastAsia="Times New Roman" w:hAnsi="Times New Roman"/>
                <w:b/>
                <w:bCs/>
                <w:sz w:val="16"/>
                <w:szCs w:val="16"/>
              </w:rPr>
              <w:t>23)</w:t>
            </w:r>
          </w:p>
        </w:tc>
      </w:tr>
      <w:tr w:rsidR="00996EDF" w:rsidRPr="009679D1" w:rsidTr="00996EDF">
        <w:trPr>
          <w:trHeight w:val="427"/>
        </w:trPr>
        <w:tc>
          <w:tcPr>
            <w:tcW w:w="732" w:type="dxa"/>
            <w:vAlign w:val="center"/>
          </w:tcPr>
          <w:p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:rsidR="00996EDF" w:rsidRPr="00827484" w:rsidRDefault="00563FAF" w:rsidP="00996EDF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>Ćirić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I., </w:t>
            </w:r>
            <w:proofErr w:type="spellStart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>Tešanović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D., </w:t>
            </w:r>
            <w:proofErr w:type="spellStart"/>
            <w:r w:rsidRPr="00827484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Vujasinović</w:t>
            </w:r>
            <w:proofErr w:type="spellEnd"/>
            <w:r w:rsidRPr="00827484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, V.</w:t>
            </w:r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</w:t>
            </w:r>
            <w:proofErr w:type="spellStart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>Ćirić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, M. (2022). The Impact of Food and Wine Harmonization on the Experience and Future Intensions of the Guest. Economics of Agriculture, 69 (2), 331-347. </w:t>
            </w:r>
            <w:hyperlink r:id="rId14" w:history="1">
              <w:r w:rsidRPr="007C33A9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  <w:lang w:val="sr-Latn-CS"/>
                </w:rPr>
                <w:t>https://</w:t>
              </w:r>
              <w:r w:rsidRPr="007C33A9">
                <w:rPr>
                  <w:rStyle w:val="Hyperlink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doi.org/</w:t>
              </w:r>
              <w:r w:rsidRPr="007C33A9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10.5937/ekoPolj2202331C</w:t>
              </w:r>
            </w:hyperlink>
            <w:r w:rsidRPr="007C33A9">
              <w:rPr>
                <w:rFonts w:ascii="Times New Roman" w:hAnsi="Times New Roman"/>
                <w:sz w:val="16"/>
                <w:szCs w:val="16"/>
              </w:rPr>
              <w:t>,</w:t>
            </w:r>
            <w:r w:rsidRPr="0082748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827484">
              <w:rPr>
                <w:rFonts w:ascii="Times New Roman" w:hAnsi="Times New Roman"/>
                <w:sz w:val="16"/>
                <w:szCs w:val="16"/>
                <w:lang w:val="en-GB"/>
              </w:rPr>
              <w:t>ISSN</w:t>
            </w:r>
            <w:r w:rsidR="007C33A9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: 2334-8453  </w:t>
            </w:r>
            <w:r w:rsidR="007C33A9" w:rsidRPr="007C33A9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(M</w:t>
            </w:r>
            <w:r w:rsidRPr="007C33A9">
              <w:rPr>
                <w:rFonts w:ascii="Times New Roman" w:hAnsi="Times New Roman"/>
                <w:b/>
                <w:sz w:val="16"/>
                <w:szCs w:val="16"/>
                <w:lang w:val="en-GB"/>
              </w:rPr>
              <w:t>23)</w:t>
            </w:r>
          </w:p>
        </w:tc>
      </w:tr>
      <w:tr w:rsidR="00996EDF" w:rsidRPr="009679D1" w:rsidTr="00996EDF">
        <w:trPr>
          <w:trHeight w:val="427"/>
        </w:trPr>
        <w:tc>
          <w:tcPr>
            <w:tcW w:w="732" w:type="dxa"/>
            <w:vAlign w:val="center"/>
          </w:tcPr>
          <w:p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:rsidR="00996EDF" w:rsidRPr="00827484" w:rsidRDefault="00A85DA6" w:rsidP="00996EDF">
            <w:pPr>
              <w:rPr>
                <w:rFonts w:ascii="Times New Roman" w:hAnsi="Times New Roman"/>
                <w:sz w:val="16"/>
                <w:szCs w:val="16"/>
              </w:rPr>
            </w:pPr>
            <w:r w:rsidRPr="00827484">
              <w:rPr>
                <w:rFonts w:ascii="Times New Roman" w:hAnsi="Times New Roman"/>
                <w:b/>
                <w:sz w:val="16"/>
                <w:szCs w:val="16"/>
                <w:lang w:val="sl-SI"/>
              </w:rPr>
              <w:t>Vujasinović, V.</w:t>
            </w: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>, Rabrenović, B., Esalami, S., Dimić, S., Tešanović, D., Banjac, M. (2019). Sensory and some chemical characteristics of olive oils produced in Libya. Acta Periodica Technologica, 50, 316-323. ISSN</w:t>
            </w:r>
            <w:r w:rsidR="007C33A9">
              <w:rPr>
                <w:rFonts w:ascii="Times New Roman" w:hAnsi="Times New Roman"/>
                <w:sz w:val="16"/>
                <w:szCs w:val="16"/>
                <w:lang w:val="sl-SI"/>
              </w:rPr>
              <w:t>:</w:t>
            </w:r>
            <w:r w:rsidRPr="00827484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 1450-7188.</w:t>
            </w:r>
            <w:r w:rsidRPr="007C33A9">
              <w:rPr>
                <w:rFonts w:ascii="Times New Roman" w:hAnsi="Times New Roman"/>
                <w:sz w:val="16"/>
                <w:szCs w:val="16"/>
                <w:lang w:val="sl-SI"/>
              </w:rPr>
              <w:t xml:space="preserve"> </w:t>
            </w:r>
            <w:r w:rsidR="007C33A9" w:rsidRPr="007C33A9">
              <w:fldChar w:fldCharType="begin"/>
            </w:r>
            <w:r w:rsidR="007C33A9" w:rsidRPr="007C33A9">
              <w:instrText xml:space="preserve"> HYPERLINK "https://doi.org/10.2298/APT1950316V" </w:instrText>
            </w:r>
            <w:r w:rsidR="007C33A9" w:rsidRPr="007C33A9">
              <w:fldChar w:fldCharType="separate"/>
            </w:r>
            <w:r w:rsidRPr="007C33A9">
              <w:rPr>
                <w:rStyle w:val="Hyperlink"/>
                <w:rFonts w:ascii="Times New Roman" w:hAnsi="Times New Roman"/>
                <w:color w:val="auto"/>
                <w:sz w:val="16"/>
                <w:szCs w:val="16"/>
                <w:u w:val="none"/>
              </w:rPr>
              <w:t>https://doi.org/10.2298/APT1950316V</w:t>
            </w:r>
            <w:r w:rsidR="007C33A9" w:rsidRPr="007C33A9">
              <w:rPr>
                <w:rStyle w:val="Hyperlink"/>
                <w:rFonts w:ascii="Times New Roman" w:hAnsi="Times New Roman"/>
                <w:color w:val="auto"/>
                <w:sz w:val="16"/>
                <w:szCs w:val="16"/>
                <w:u w:val="none"/>
              </w:rPr>
              <w:fldChar w:fldCharType="end"/>
            </w:r>
            <w:r w:rsidR="007C33A9">
              <w:rPr>
                <w:rFonts w:ascii="Times New Roman" w:hAnsi="Times New Roman"/>
                <w:sz w:val="16"/>
                <w:szCs w:val="16"/>
              </w:rPr>
              <w:t xml:space="preserve">  </w:t>
            </w:r>
            <w:r w:rsidR="007C33A9" w:rsidRPr="007C33A9">
              <w:rPr>
                <w:rFonts w:ascii="Times New Roman" w:hAnsi="Times New Roman"/>
                <w:b/>
                <w:sz w:val="16"/>
                <w:szCs w:val="16"/>
              </w:rPr>
              <w:t>(M</w:t>
            </w:r>
            <w:r w:rsidRPr="007C33A9">
              <w:rPr>
                <w:rFonts w:ascii="Times New Roman" w:hAnsi="Times New Roman"/>
                <w:b/>
                <w:sz w:val="16"/>
                <w:szCs w:val="16"/>
              </w:rPr>
              <w:t>24)</w:t>
            </w:r>
          </w:p>
        </w:tc>
      </w:tr>
      <w:tr w:rsidR="00996EDF" w:rsidRPr="009679D1" w:rsidTr="00996EDF">
        <w:trPr>
          <w:trHeight w:val="427"/>
        </w:trPr>
        <w:tc>
          <w:tcPr>
            <w:tcW w:w="732" w:type="dxa"/>
            <w:vAlign w:val="center"/>
          </w:tcPr>
          <w:p w:rsidR="00996EDF" w:rsidRPr="009679D1" w:rsidRDefault="00996EDF" w:rsidP="00996EDF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475" w:type="dxa"/>
            <w:gridSpan w:val="13"/>
            <w:shd w:val="clear" w:color="auto" w:fill="auto"/>
            <w:vAlign w:val="center"/>
          </w:tcPr>
          <w:p w:rsidR="00996EDF" w:rsidRPr="00827484" w:rsidRDefault="00073005" w:rsidP="00996EDF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27484">
              <w:rPr>
                <w:rFonts w:ascii="Times New Roman" w:hAnsi="Times New Roman"/>
                <w:sz w:val="16"/>
                <w:szCs w:val="16"/>
              </w:rPr>
              <w:t>Bjelica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827484">
              <w:rPr>
                <w:rFonts w:ascii="Times New Roman" w:hAnsi="Times New Roman"/>
                <w:b/>
                <w:sz w:val="16"/>
                <w:szCs w:val="16"/>
              </w:rPr>
              <w:t>Vujasinović</w:t>
            </w:r>
            <w:proofErr w:type="spellEnd"/>
            <w:r w:rsidRPr="00827484">
              <w:rPr>
                <w:rFonts w:ascii="Times New Roman" w:hAnsi="Times New Roman"/>
                <w:b/>
                <w:sz w:val="16"/>
                <w:szCs w:val="16"/>
              </w:rPr>
              <w:t xml:space="preserve"> V.</w:t>
            </w:r>
            <w:r w:rsidRPr="00827484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827484">
              <w:rPr>
                <w:rFonts w:ascii="Times New Roman" w:hAnsi="Times New Roman"/>
                <w:sz w:val="16"/>
                <w:szCs w:val="16"/>
              </w:rPr>
              <w:t>Rabrenović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</w:rPr>
              <w:t xml:space="preserve"> B., </w:t>
            </w:r>
            <w:proofErr w:type="spellStart"/>
            <w:r w:rsidRPr="00827484">
              <w:rPr>
                <w:rFonts w:ascii="Times New Roman" w:hAnsi="Times New Roman"/>
                <w:sz w:val="16"/>
                <w:szCs w:val="16"/>
              </w:rPr>
              <w:t>Dimić</w:t>
            </w:r>
            <w:proofErr w:type="spellEnd"/>
            <w:r w:rsidRPr="00827484">
              <w:rPr>
                <w:rFonts w:ascii="Times New Roman" w:hAnsi="Times New Roman"/>
                <w:sz w:val="16"/>
                <w:szCs w:val="16"/>
              </w:rPr>
              <w:t xml:space="preserve"> S. (2019). Some Chemical Characteristics and Oxidative Stability of Cold Pressed Grape Seed Oils Obtained from Different Winery Waste. European Journal of Lipid Science and Technology, 121 (8). </w:t>
            </w:r>
            <w:bookmarkStart w:id="0" w:name="_GoBack"/>
            <w:r w:rsidR="007C33A9" w:rsidRPr="007C33A9">
              <w:fldChar w:fldCharType="begin"/>
            </w:r>
            <w:r w:rsidR="007C33A9" w:rsidRPr="007C33A9">
              <w:instrText xml:space="preserve"> HYPERLINK "https://doi.org/10.1002/ejlt.201800416.%20ISSN%</w:instrText>
            </w:r>
            <w:r w:rsidR="007C33A9" w:rsidRPr="007C33A9">
              <w:instrText xml:space="preserve">201438-7697" </w:instrText>
            </w:r>
            <w:r w:rsidR="007C33A9" w:rsidRPr="007C33A9">
              <w:fldChar w:fldCharType="separate"/>
            </w:r>
            <w:r w:rsidRPr="007C33A9">
              <w:rPr>
                <w:rStyle w:val="Hyperlink"/>
                <w:rFonts w:ascii="Times New Roman" w:hAnsi="Times New Roman"/>
                <w:color w:val="auto"/>
                <w:sz w:val="16"/>
                <w:szCs w:val="16"/>
                <w:u w:val="none"/>
              </w:rPr>
              <w:t>https://doi.org/10.1002/ejlt.201800416. ISSN 1438-7697</w:t>
            </w:r>
            <w:r w:rsidR="007C33A9" w:rsidRPr="007C33A9">
              <w:rPr>
                <w:rStyle w:val="Hyperlink"/>
                <w:rFonts w:ascii="Times New Roman" w:hAnsi="Times New Roman"/>
                <w:color w:val="auto"/>
                <w:sz w:val="16"/>
                <w:szCs w:val="16"/>
                <w:u w:val="none"/>
              </w:rPr>
              <w:fldChar w:fldCharType="end"/>
            </w:r>
            <w:proofErr w:type="gramStart"/>
            <w:r w:rsidR="007C33A9" w:rsidRPr="007C33A9">
              <w:rPr>
                <w:rFonts w:ascii="Times New Roman" w:hAnsi="Times New Roman"/>
                <w:sz w:val="16"/>
                <w:szCs w:val="16"/>
              </w:rPr>
              <w:t>.</w:t>
            </w:r>
            <w:r w:rsidR="007C33A9">
              <w:rPr>
                <w:rFonts w:ascii="Times New Roman" w:hAnsi="Times New Roman"/>
                <w:sz w:val="16"/>
                <w:szCs w:val="16"/>
              </w:rPr>
              <w:t xml:space="preserve">   </w:t>
            </w:r>
            <w:r w:rsidR="007C33A9" w:rsidRPr="007C33A9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bookmarkEnd w:id="0"/>
            <w:proofErr w:type="gramEnd"/>
            <w:r w:rsidRPr="007C33A9">
              <w:rPr>
                <w:rFonts w:ascii="Times New Roman" w:hAnsi="Times New Roman"/>
                <w:b/>
                <w:sz w:val="16"/>
                <w:szCs w:val="16"/>
              </w:rPr>
              <w:t>(M22)</w:t>
            </w:r>
          </w:p>
        </w:tc>
      </w:tr>
      <w:tr w:rsidR="00996EDF" w:rsidRPr="009679D1" w:rsidTr="00996EDF">
        <w:trPr>
          <w:trHeight w:val="161"/>
        </w:trPr>
        <w:tc>
          <w:tcPr>
            <w:tcW w:w="10207" w:type="dxa"/>
            <w:gridSpan w:val="14"/>
            <w:vAlign w:val="center"/>
          </w:tcPr>
          <w:p w:rsidR="00996EDF" w:rsidRPr="009679D1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96EDF" w:rsidRPr="009679D1" w:rsidTr="00996EDF">
        <w:trPr>
          <w:trHeight w:val="215"/>
        </w:trPr>
        <w:tc>
          <w:tcPr>
            <w:tcW w:w="4925" w:type="dxa"/>
            <w:gridSpan w:val="7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282" w:type="dxa"/>
            <w:gridSpan w:val="7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</w:rPr>
              <w:t>319 (SCOPUS)</w:t>
            </w:r>
          </w:p>
        </w:tc>
      </w:tr>
      <w:tr w:rsidR="00996EDF" w:rsidRPr="009679D1" w:rsidTr="00996EDF">
        <w:trPr>
          <w:trHeight w:val="260"/>
        </w:trPr>
        <w:tc>
          <w:tcPr>
            <w:tcW w:w="4925" w:type="dxa"/>
            <w:gridSpan w:val="7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282" w:type="dxa"/>
            <w:gridSpan w:val="7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17</w:t>
            </w:r>
          </w:p>
        </w:tc>
      </w:tr>
      <w:tr w:rsidR="00996EDF" w:rsidRPr="009679D1" w:rsidTr="00996EDF">
        <w:trPr>
          <w:trHeight w:val="278"/>
        </w:trPr>
        <w:tc>
          <w:tcPr>
            <w:tcW w:w="4925" w:type="dxa"/>
            <w:gridSpan w:val="7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540" w:type="dxa"/>
            <w:gridSpan w:val="4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Домаћи 3</w:t>
            </w:r>
          </w:p>
        </w:tc>
        <w:tc>
          <w:tcPr>
            <w:tcW w:w="3742" w:type="dxa"/>
            <w:gridSpan w:val="3"/>
            <w:vAlign w:val="center"/>
          </w:tcPr>
          <w:p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 /</w:t>
            </w:r>
          </w:p>
        </w:tc>
      </w:tr>
      <w:tr w:rsidR="00996EDF" w:rsidRPr="009679D1" w:rsidTr="00996EDF">
        <w:trPr>
          <w:trHeight w:val="170"/>
        </w:trPr>
        <w:tc>
          <w:tcPr>
            <w:tcW w:w="1823" w:type="dxa"/>
            <w:gridSpan w:val="4"/>
            <w:vAlign w:val="center"/>
          </w:tcPr>
          <w:p w:rsidR="00996EDF" w:rsidRPr="009679D1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384" w:type="dxa"/>
            <w:gridSpan w:val="10"/>
            <w:vAlign w:val="center"/>
          </w:tcPr>
          <w:p w:rsidR="00996EDF" w:rsidRPr="00996EDF" w:rsidRDefault="00996EDF" w:rsidP="00996EDF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96EDF">
              <w:rPr>
                <w:rFonts w:ascii="Times New Roman" w:hAnsi="Times New Roman"/>
                <w:sz w:val="16"/>
                <w:szCs w:val="16"/>
                <w:lang w:val="sr-Cyrl-CS"/>
              </w:rPr>
              <w:t>Faculty of Bioscience Engineering - Safety in the Agro-Food Chain (Socrates Intensive Programme), Ghent, Belgium (2005)</w:t>
            </w:r>
          </w:p>
          <w:p w:rsidR="00996EDF" w:rsidRPr="00996ED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6"/>
                <w:szCs w:val="16"/>
                <w:lang w:val="sr-Cyrl-CS"/>
              </w:rPr>
              <w:t>LA FONDATION POUR LA FORMATION HOTELIERE, др Elizabeth Ineson и Adrian Barsbi</w:t>
            </w:r>
            <w:r w:rsidRPr="00996EDF">
              <w:rPr>
                <w:rFonts w:ascii="Times New Roman" w:hAnsi="Times New Roman"/>
                <w:sz w:val="16"/>
                <w:szCs w:val="16"/>
                <w:lang w:val="sr-Latn-CS"/>
              </w:rPr>
              <w:t>: Менаџмент хране и пића, Београд (2017)</w:t>
            </w:r>
          </w:p>
        </w:tc>
      </w:tr>
      <w:tr w:rsidR="00996EDF" w:rsidRPr="009679D1" w:rsidTr="00996EDF">
        <w:trPr>
          <w:trHeight w:val="58"/>
        </w:trPr>
        <w:tc>
          <w:tcPr>
            <w:tcW w:w="10207" w:type="dxa"/>
            <w:gridSpan w:val="14"/>
            <w:vAlign w:val="center"/>
          </w:tcPr>
          <w:p w:rsidR="00996EDF" w:rsidRPr="003C5BAF" w:rsidRDefault="00996EDF" w:rsidP="00996EDF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BAF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:rsidR="00996EDF" w:rsidRPr="00996EDF" w:rsidRDefault="00996EDF" w:rsidP="00996ED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Члан експертског тима за доделу знака „Најбоље из Војводине“ за производе индустрије уља (2005. год.)</w:t>
            </w:r>
          </w:p>
          <w:p w:rsidR="00996EDF" w:rsidRPr="00996EDF" w:rsidRDefault="00996EDF" w:rsidP="00996EDF">
            <w:pPr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Cyrl-CS"/>
              </w:rPr>
              <w:t>Члан комисије за стандарде и сродне документе КС Е034-2,11, семе и плодови уљарица, мастии уља биљног и животињског порекла и њихови споредни производи, као стручног тела Института за стандардизацију Србије, Београд (од 2013. године)</w:t>
            </w:r>
          </w:p>
          <w:p w:rsidR="00996EDF" w:rsidRPr="003C5BAF" w:rsidRDefault="00996EDF" w:rsidP="00996EDF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96EDF">
              <w:rPr>
                <w:rFonts w:ascii="Times New Roman" w:hAnsi="Times New Roman"/>
                <w:sz w:val="18"/>
                <w:szCs w:val="18"/>
                <w:lang w:val="sr-Latn-CS"/>
              </w:rPr>
              <w:t xml:space="preserve">Предавач на семинару: Пословање по принципима </w:t>
            </w:r>
            <w:r w:rsidRPr="00996EDF">
              <w:rPr>
                <w:rFonts w:ascii="Times New Roman" w:hAnsi="Times New Roman"/>
                <w:sz w:val="18"/>
                <w:szCs w:val="18"/>
                <w:lang w:val="en-GB"/>
              </w:rPr>
              <w:t>HACCP</w:t>
            </w:r>
            <w:r w:rsidRPr="00996EDF">
              <w:rPr>
                <w:rFonts w:ascii="Times New Roman" w:hAnsi="Times New Roman"/>
                <w:sz w:val="18"/>
                <w:szCs w:val="18"/>
                <w:lang w:val="ru-RU"/>
              </w:rPr>
              <w:t>-</w:t>
            </w:r>
            <w:r w:rsidRPr="00996EDF">
              <w:rPr>
                <w:rFonts w:ascii="Times New Roman" w:hAnsi="Times New Roman"/>
                <w:sz w:val="18"/>
                <w:szCs w:val="18"/>
                <w:lang w:val="sr-Latn-CS"/>
              </w:rPr>
              <w:t>а у хотелијерству и угоститељству, Природно-математичког факултета у Новом Саду, руководилац: др Драган Тешановић</w:t>
            </w:r>
          </w:p>
        </w:tc>
      </w:tr>
    </w:tbl>
    <w:p w:rsidR="00DA78E2" w:rsidRDefault="00DA78E2" w:rsidP="00563FAF"/>
    <w:sectPr w:rsidR="00DA78E2" w:rsidSect="00AE6ACE">
      <w:pgSz w:w="11900" w:h="16840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46A457D8"/>
    <w:lvl w:ilvl="0" w:tplc="83CCC2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FF4"/>
    <w:rsid w:val="0003045A"/>
    <w:rsid w:val="00073005"/>
    <w:rsid w:val="000F5FF9"/>
    <w:rsid w:val="00357ACD"/>
    <w:rsid w:val="003B5BD3"/>
    <w:rsid w:val="004C6FFF"/>
    <w:rsid w:val="004F32F0"/>
    <w:rsid w:val="00515E91"/>
    <w:rsid w:val="00537FF4"/>
    <w:rsid w:val="00563FAF"/>
    <w:rsid w:val="007453F3"/>
    <w:rsid w:val="00747E18"/>
    <w:rsid w:val="007C33A9"/>
    <w:rsid w:val="00827484"/>
    <w:rsid w:val="00850CA5"/>
    <w:rsid w:val="009030BD"/>
    <w:rsid w:val="009560B2"/>
    <w:rsid w:val="00996EDF"/>
    <w:rsid w:val="00A0415D"/>
    <w:rsid w:val="00A24BB5"/>
    <w:rsid w:val="00A40CC1"/>
    <w:rsid w:val="00A54685"/>
    <w:rsid w:val="00A85DA6"/>
    <w:rsid w:val="00AE6ACE"/>
    <w:rsid w:val="00CF168C"/>
    <w:rsid w:val="00D028E6"/>
    <w:rsid w:val="00D8221C"/>
    <w:rsid w:val="00DA78E2"/>
    <w:rsid w:val="00E52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E3154"/>
  <w15:docId w15:val="{F3143FED-307B-426F-BA1C-1DBB86F1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FF4"/>
    <w:pPr>
      <w:spacing w:after="0" w:line="240" w:lineRule="auto"/>
    </w:pPr>
    <w:rPr>
      <w:rFonts w:ascii="Calibri" w:eastAsia="Calibri" w:hAnsi="Calibri" w:cs="Times New Roman"/>
    </w:rPr>
  </w:style>
  <w:style w:type="paragraph" w:styleId="Heading4">
    <w:name w:val="heading 4"/>
    <w:basedOn w:val="Normal"/>
    <w:link w:val="Heading4Char"/>
    <w:uiPriority w:val="9"/>
    <w:qFormat/>
    <w:rsid w:val="0003045A"/>
    <w:pPr>
      <w:spacing w:before="100" w:beforeAutospacing="1" w:after="100" w:afterAutospacing="1"/>
      <w:outlineLvl w:val="3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537F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37FF4"/>
    <w:rPr>
      <w:rFonts w:eastAsiaTheme="minorEastAsia"/>
      <w:color w:val="5A5A5A" w:themeColor="text1" w:themeTint="A5"/>
      <w:spacing w:val="15"/>
    </w:rPr>
  </w:style>
  <w:style w:type="character" w:customStyle="1" w:styleId="rynqvb">
    <w:name w:val="rynqvb"/>
    <w:basedOn w:val="DefaultParagraphFont"/>
    <w:rsid w:val="00537FF4"/>
  </w:style>
  <w:style w:type="character" w:customStyle="1" w:styleId="hwtze">
    <w:name w:val="hwtze"/>
    <w:basedOn w:val="DefaultParagraphFont"/>
    <w:rsid w:val="00537FF4"/>
  </w:style>
  <w:style w:type="character" w:customStyle="1" w:styleId="Heading4Char">
    <w:name w:val="Heading 4 Char"/>
    <w:basedOn w:val="DefaultParagraphFont"/>
    <w:link w:val="Heading4"/>
    <w:uiPriority w:val="9"/>
    <w:rsid w:val="0003045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pography-modulelvnit">
    <w:name w:val="typography-module__lvnit"/>
    <w:basedOn w:val="DefaultParagraphFont"/>
    <w:rsid w:val="0003045A"/>
  </w:style>
  <w:style w:type="character" w:customStyle="1" w:styleId="text-bold">
    <w:name w:val="text-bold"/>
    <w:basedOn w:val="DefaultParagraphFont"/>
    <w:rsid w:val="0003045A"/>
  </w:style>
  <w:style w:type="character" w:customStyle="1" w:styleId="text-meta">
    <w:name w:val="text-meta"/>
    <w:basedOn w:val="DefaultParagraphFont"/>
    <w:rsid w:val="0003045A"/>
  </w:style>
  <w:style w:type="character" w:styleId="Hyperlink">
    <w:name w:val="Hyperlink"/>
    <w:basedOn w:val="DefaultParagraphFont"/>
    <w:uiPriority w:val="99"/>
    <w:unhideWhenUsed/>
    <w:rsid w:val="000730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70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copus.com/authid/detail.uri?authorId=57941425800" TargetMode="External"/><Relationship Id="rId13" Type="http://schemas.openxmlformats.org/officeDocument/2006/relationships/hyperlink" Target="https://doi.org/10.3390/heritage60401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298/JAS2101067P" TargetMode="External"/><Relationship Id="rId12" Type="http://schemas.openxmlformats.org/officeDocument/2006/relationships/hyperlink" Target="https://www.scopus.com/authid/detail.uri?authorId=5819840380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i.org/10.2298/JAS2001061P" TargetMode="External"/><Relationship Id="rId11" Type="http://schemas.openxmlformats.org/officeDocument/2006/relationships/hyperlink" Target="https://www.scopus.com/authid/detail.uri?authorId=26650215300" TargetMode="External"/><Relationship Id="rId5" Type="http://schemas.openxmlformats.org/officeDocument/2006/relationships/hyperlink" Target="https://doi.org/10.3989/gya.0222201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scopus.com/authid/detail.uri?authorId=5720400195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copus.com/authid/detail.uri?authorId=57374333300" TargetMode="External"/><Relationship Id="rId14" Type="http://schemas.openxmlformats.org/officeDocument/2006/relationships/hyperlink" Target="https://doi.org/10.5937/ekoPolj2202331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Vujasinovic</dc:creator>
  <cp:keywords/>
  <dc:description/>
  <cp:lastModifiedBy>Marija</cp:lastModifiedBy>
  <cp:revision>5</cp:revision>
  <dcterms:created xsi:type="dcterms:W3CDTF">2023-10-31T00:10:00Z</dcterms:created>
  <dcterms:modified xsi:type="dcterms:W3CDTF">2023-11-07T22:02:00Z</dcterms:modified>
</cp:coreProperties>
</file>