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B87" w:rsidRDefault="00470B87">
      <w:pPr>
        <w:tabs>
          <w:tab w:val="left" w:pos="567"/>
        </w:tabs>
        <w:spacing w:after="60"/>
        <w:jc w:val="both"/>
        <w:rPr>
          <w:rFonts w:ascii="Times New Roman" w:eastAsia="Times New Roman" w:hAnsi="Times New Roman"/>
          <w:i/>
          <w:sz w:val="14"/>
          <w:szCs w:val="14"/>
        </w:rPr>
      </w:pPr>
    </w:p>
    <w:tbl>
      <w:tblPr>
        <w:tblStyle w:val="a"/>
        <w:tblW w:w="94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72"/>
        <w:gridCol w:w="880"/>
        <w:gridCol w:w="649"/>
        <w:gridCol w:w="992"/>
        <w:gridCol w:w="320"/>
        <w:gridCol w:w="247"/>
        <w:gridCol w:w="837"/>
        <w:gridCol w:w="214"/>
        <w:gridCol w:w="138"/>
        <w:gridCol w:w="1475"/>
        <w:gridCol w:w="783"/>
        <w:gridCol w:w="922"/>
      </w:tblGrid>
      <w:tr w:rsidR="00470B87">
        <w:trPr>
          <w:trHeight w:val="224"/>
        </w:trPr>
        <w:tc>
          <w:tcPr>
            <w:tcW w:w="5103" w:type="dxa"/>
            <w:gridSpan w:val="8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Име и презиме </w:t>
            </w:r>
          </w:p>
        </w:tc>
        <w:tc>
          <w:tcPr>
            <w:tcW w:w="4369" w:type="dxa"/>
            <w:gridSpan w:val="6"/>
          </w:tcPr>
          <w:p w:rsidR="00470B87" w:rsidRDefault="00B15F38">
            <w:pPr>
              <w:keepNext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Ђорђије А. Васиљевић</w:t>
            </w:r>
          </w:p>
        </w:tc>
      </w:tr>
      <w:tr w:rsidR="00470B87">
        <w:trPr>
          <w:trHeight w:val="170"/>
        </w:trPr>
        <w:tc>
          <w:tcPr>
            <w:tcW w:w="5103" w:type="dxa"/>
            <w:gridSpan w:val="8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</w:p>
        </w:tc>
        <w:tc>
          <w:tcPr>
            <w:tcW w:w="4369" w:type="dxa"/>
            <w:gridSpan w:val="6"/>
          </w:tcPr>
          <w:p w:rsidR="00470B87" w:rsidRDefault="00B15F3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Ванредни професор</w:t>
            </w:r>
          </w:p>
        </w:tc>
      </w:tr>
      <w:tr w:rsidR="00470B87">
        <w:trPr>
          <w:trHeight w:val="395"/>
        </w:trPr>
        <w:tc>
          <w:tcPr>
            <w:tcW w:w="5103" w:type="dxa"/>
            <w:gridSpan w:val="8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 институције у  којој наставник ради са пуним  или непуним радним временом и од када</w:t>
            </w:r>
          </w:p>
        </w:tc>
        <w:tc>
          <w:tcPr>
            <w:tcW w:w="4369" w:type="dxa"/>
            <w:gridSpan w:val="6"/>
          </w:tcPr>
          <w:p w:rsidR="00470B87" w:rsidRDefault="00B15F3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 факултет, Департман за географију, туризам и хотелијерство, 01.10.2020.</w:t>
            </w:r>
          </w:p>
        </w:tc>
      </w:tr>
      <w:tr w:rsidR="00470B87">
        <w:trPr>
          <w:trHeight w:val="215"/>
        </w:trPr>
        <w:tc>
          <w:tcPr>
            <w:tcW w:w="5103" w:type="dxa"/>
            <w:gridSpan w:val="8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 научна односно уметничка област</w:t>
            </w:r>
          </w:p>
        </w:tc>
        <w:tc>
          <w:tcPr>
            <w:tcW w:w="4369" w:type="dxa"/>
            <w:gridSpan w:val="6"/>
          </w:tcPr>
          <w:p w:rsidR="00470B87" w:rsidRDefault="00B15F38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Геоекологија</w:t>
            </w:r>
          </w:p>
        </w:tc>
      </w:tr>
      <w:tr w:rsidR="00470B87">
        <w:trPr>
          <w:trHeight w:val="93"/>
        </w:trPr>
        <w:tc>
          <w:tcPr>
            <w:tcW w:w="9472" w:type="dxa"/>
            <w:gridSpan w:val="14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 каријера</w:t>
            </w:r>
          </w:p>
        </w:tc>
      </w:tr>
      <w:tr w:rsidR="00470B87">
        <w:trPr>
          <w:trHeight w:val="332"/>
        </w:trPr>
        <w:tc>
          <w:tcPr>
            <w:tcW w:w="2015" w:type="dxa"/>
            <w:gridSpan w:val="3"/>
            <w:vAlign w:val="center"/>
          </w:tcPr>
          <w:p w:rsidR="00470B87" w:rsidRDefault="00470B87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1529" w:type="dxa"/>
            <w:gridSpan w:val="2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Година </w:t>
            </w:r>
          </w:p>
        </w:tc>
        <w:tc>
          <w:tcPr>
            <w:tcW w:w="2610" w:type="dxa"/>
            <w:gridSpan w:val="5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Институција </w:t>
            </w:r>
          </w:p>
        </w:tc>
        <w:tc>
          <w:tcPr>
            <w:tcW w:w="1613" w:type="dxa"/>
            <w:gridSpan w:val="2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Научна или уметничка област 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Ужа научна, уметничка или стручна област</w:t>
            </w:r>
          </w:p>
        </w:tc>
      </w:tr>
      <w:tr w:rsidR="00470B87">
        <w:trPr>
          <w:trHeight w:val="206"/>
        </w:trPr>
        <w:tc>
          <w:tcPr>
            <w:tcW w:w="2015" w:type="dxa"/>
            <w:gridSpan w:val="3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Избор у звање</w:t>
            </w:r>
          </w:p>
        </w:tc>
        <w:tc>
          <w:tcPr>
            <w:tcW w:w="1529" w:type="dxa"/>
            <w:gridSpan w:val="2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2020.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Геоекологија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Геоекологија</w:t>
            </w:r>
          </w:p>
        </w:tc>
      </w:tr>
      <w:tr w:rsidR="00470B87">
        <w:trPr>
          <w:trHeight w:val="134"/>
        </w:trPr>
        <w:tc>
          <w:tcPr>
            <w:tcW w:w="2015" w:type="dxa"/>
            <w:gridSpan w:val="3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Докторат</w:t>
            </w:r>
          </w:p>
        </w:tc>
        <w:tc>
          <w:tcPr>
            <w:tcW w:w="1529" w:type="dxa"/>
            <w:gridSpan w:val="2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2015.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Геонауке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470B87">
        <w:trPr>
          <w:trHeight w:val="170"/>
        </w:trPr>
        <w:tc>
          <w:tcPr>
            <w:tcW w:w="2015" w:type="dxa"/>
            <w:gridSpan w:val="3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Магистратура</w:t>
            </w:r>
          </w:p>
        </w:tc>
        <w:tc>
          <w:tcPr>
            <w:tcW w:w="1529" w:type="dxa"/>
            <w:gridSpan w:val="2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2008.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470B87">
        <w:trPr>
          <w:trHeight w:val="188"/>
        </w:trPr>
        <w:tc>
          <w:tcPr>
            <w:tcW w:w="2015" w:type="dxa"/>
            <w:gridSpan w:val="3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Диплома</w:t>
            </w:r>
          </w:p>
        </w:tc>
        <w:tc>
          <w:tcPr>
            <w:tcW w:w="1529" w:type="dxa"/>
            <w:gridSpan w:val="2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2006.</w:t>
            </w:r>
          </w:p>
        </w:tc>
        <w:tc>
          <w:tcPr>
            <w:tcW w:w="2610" w:type="dxa"/>
            <w:gridSpan w:val="5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 за географију, туризам и хотелијерство, ПМФ, Нови Сад</w:t>
            </w:r>
          </w:p>
        </w:tc>
        <w:tc>
          <w:tcPr>
            <w:tcW w:w="1613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  <w:tc>
          <w:tcPr>
            <w:tcW w:w="1705" w:type="dxa"/>
            <w:gridSpan w:val="2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</w:p>
        </w:tc>
      </w:tr>
      <w:tr w:rsidR="00470B87">
        <w:trPr>
          <w:trHeight w:val="135"/>
        </w:trPr>
        <w:tc>
          <w:tcPr>
            <w:tcW w:w="9472" w:type="dxa"/>
            <w:gridSpan w:val="14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</w:rPr>
              <w:t>Списак предмета за  које  је наставник акредитован на првом или другом степену студија</w:t>
            </w:r>
          </w:p>
        </w:tc>
      </w:tr>
      <w:tr w:rsidR="00470B87">
        <w:trPr>
          <w:trHeight w:val="350"/>
        </w:trPr>
        <w:tc>
          <w:tcPr>
            <w:tcW w:w="709" w:type="dxa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Р.Б.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Ознака предмета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Назив предмета     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Вид наставе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Назив студијског програма 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Врста студија</w:t>
            </w:r>
          </w:p>
        </w:tc>
      </w:tr>
      <w:tr w:rsidR="00470B87">
        <w:trPr>
          <w:trHeight w:val="315"/>
        </w:trPr>
        <w:tc>
          <w:tcPr>
            <w:tcW w:w="709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ДГ603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Интерпретација природног и културног наслеђа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географ, 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ОАС</w:t>
            </w:r>
          </w:p>
          <w:p w:rsidR="00470B87" w:rsidRDefault="00470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</w:tr>
      <w:tr w:rsidR="00470B87">
        <w:trPr>
          <w:trHeight w:val="170"/>
        </w:trPr>
        <w:tc>
          <w:tcPr>
            <w:tcW w:w="709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ДГ602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Мониторинг и управљање постиоцима у природним подручјима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  <w:p w:rsidR="00470B87" w:rsidRDefault="00470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географ</w:t>
            </w:r>
          </w:p>
        </w:tc>
        <w:tc>
          <w:tcPr>
            <w:tcW w:w="922" w:type="dxa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ОАС</w:t>
            </w:r>
          </w:p>
        </w:tc>
      </w:tr>
      <w:tr w:rsidR="00470B87">
        <w:trPr>
          <w:trHeight w:val="300"/>
        </w:trPr>
        <w:tc>
          <w:tcPr>
            <w:tcW w:w="709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ГЕ406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Заштита и конзервација геонаслеђа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географ</w:t>
            </w:r>
          </w:p>
        </w:tc>
        <w:tc>
          <w:tcPr>
            <w:tcW w:w="922" w:type="dxa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ОАС</w:t>
            </w:r>
          </w:p>
        </w:tc>
      </w:tr>
      <w:tr w:rsidR="00470B87">
        <w:trPr>
          <w:trHeight w:val="165"/>
        </w:trPr>
        <w:tc>
          <w:tcPr>
            <w:tcW w:w="709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4.</w:t>
            </w:r>
          </w:p>
        </w:tc>
        <w:tc>
          <w:tcPr>
            <w:tcW w:w="1134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Т358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Селективни облици туризма</w:t>
            </w:r>
          </w:p>
        </w:tc>
        <w:tc>
          <w:tcPr>
            <w:tcW w:w="1404" w:type="dxa"/>
            <w:gridSpan w:val="3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ОАС</w:t>
            </w:r>
          </w:p>
        </w:tc>
      </w:tr>
      <w:tr w:rsidR="00470B87">
        <w:trPr>
          <w:trHeight w:val="60"/>
        </w:trPr>
        <w:tc>
          <w:tcPr>
            <w:tcW w:w="709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5.</w:t>
            </w:r>
          </w:p>
        </w:tc>
        <w:tc>
          <w:tcPr>
            <w:tcW w:w="1134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Т330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Информационе технологије у туризму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ОАС</w:t>
            </w:r>
          </w:p>
        </w:tc>
      </w:tr>
      <w:tr w:rsidR="00470B87">
        <w:trPr>
          <w:trHeight w:val="145"/>
        </w:trPr>
        <w:tc>
          <w:tcPr>
            <w:tcW w:w="709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6.</w:t>
            </w:r>
          </w:p>
        </w:tc>
        <w:tc>
          <w:tcPr>
            <w:tcW w:w="1134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Т341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Манифестациони туризам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Предавања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ОАС</w:t>
            </w:r>
          </w:p>
        </w:tc>
      </w:tr>
      <w:tr w:rsidR="00470B87">
        <w:trPr>
          <w:trHeight w:val="130"/>
        </w:trPr>
        <w:tc>
          <w:tcPr>
            <w:tcW w:w="709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7.</w:t>
            </w:r>
          </w:p>
        </w:tc>
        <w:tc>
          <w:tcPr>
            <w:tcW w:w="1134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highlight w:val="yellow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Т338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470B87" w:rsidRDefault="00B15F38">
            <w:pPr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Вински туризам</w:t>
            </w:r>
          </w:p>
        </w:tc>
        <w:tc>
          <w:tcPr>
            <w:tcW w:w="1404" w:type="dxa"/>
            <w:gridSpan w:val="3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Вежбе</w:t>
            </w:r>
          </w:p>
        </w:tc>
        <w:tc>
          <w:tcPr>
            <w:tcW w:w="2610" w:type="dxa"/>
            <w:gridSpan w:val="4"/>
            <w:shd w:val="clear" w:color="auto" w:fill="auto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sz w:val="14"/>
                <w:szCs w:val="14"/>
              </w:rPr>
              <w:t>Дипломирани туризмолог</w:t>
            </w:r>
          </w:p>
        </w:tc>
        <w:tc>
          <w:tcPr>
            <w:tcW w:w="922" w:type="dxa"/>
            <w:shd w:val="clear" w:color="auto" w:fill="auto"/>
          </w:tcPr>
          <w:p w:rsidR="00470B8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ОАС</w:t>
            </w:r>
          </w:p>
        </w:tc>
      </w:tr>
      <w:tr w:rsidR="00470B87">
        <w:trPr>
          <w:trHeight w:val="130"/>
        </w:trPr>
        <w:tc>
          <w:tcPr>
            <w:tcW w:w="9472" w:type="dxa"/>
            <w:gridSpan w:val="14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  <w:sz w:val="14"/>
                <w:szCs w:val="14"/>
              </w:rPr>
              <w:t>Репрезентативне референце (минимално 5 не више од 10)</w:t>
            </w:r>
          </w:p>
        </w:tc>
      </w:tr>
      <w:tr w:rsidR="00470B87">
        <w:trPr>
          <w:trHeight w:val="330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527D9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Đ.,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Began, M., Vujičić, M., Hose, T., Stankov, U.. 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2021). Does Geosite Interpretation Lead to Conservation? A Case Study of the Sićevo Gorge (Serbia).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Acta Geographica Slovenica,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61(2)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7-21. </w:t>
            </w:r>
            <w:hyperlink r:id="rId6" w:history="1">
              <w:r w:rsidR="00527D97" w:rsidRPr="003559F8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</w:rPr>
                <w:t>https://doi.org/10.3986/AGS.8753</w:t>
              </w:r>
            </w:hyperlink>
            <w:r w:rsidRPr="003559F8">
              <w:rPr>
                <w:rFonts w:ascii="Times New Roman" w:eastAsia="Times New Roman" w:hAnsi="Times New Roman"/>
                <w:sz w:val="14"/>
                <w:szCs w:val="14"/>
              </w:rPr>
              <w:t>.</w:t>
            </w:r>
            <w:r w:rsidR="00527D97" w:rsidRPr="003559F8">
              <w:rPr>
                <w:rFonts w:ascii="Times New Roman" w:eastAsia="Times New Roman" w:hAnsi="Times New Roman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(</w:t>
            </w:r>
            <w:r w:rsidR="00527D97" w:rsidRPr="00527D97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M23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427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527D9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D.A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., Vujičić, M.D., Bozić, S., Jovanović, T., Marković, S.B., Basarin, B., Lukić, T., Carkadzić, J. (2018). Trying to underline geotourist profile of National park visitors: Case study of NP Fruška Gora, Serbia (Typology of potential geotourists at NP Fruška Gora).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Open Geosciences,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10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, 222-233.</w:t>
            </w:r>
            <w:r w:rsidR="00527D97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527D97" w:rsidRPr="00527D97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https://doi.org/10.1515/geo-2018-0017</w:t>
            </w:r>
            <w:r w:rsidR="00527D97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="00527D97" w:rsidRPr="00527D97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M23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285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527D9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Vujičić, M.D.,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Hose, T.A., Tasić, N., Morar, C., Durić, A., Marković, S.B. (2018)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A multi-criteria decision analysis with special reference to loess and archaeological sites in Serbia (Could geosciences and archaeology cohabitate?).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Open Geosciences.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10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, 333-343.</w:t>
            </w:r>
            <w:r w:rsidR="00527D97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527D97" w:rsidRPr="00527D97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https://doi.org/10.1515/geo-2018-0026</w:t>
            </w:r>
            <w:r w:rsidR="00527D97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="00527D97" w:rsidRPr="00527D97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M23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255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527D97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Micić Ponjiger, T., Lukić, T.,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Ð.A.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et al. 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 (2021).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Quantitative Geodiversity Assessment of the Fruška Gora Mt. (North Serbia) by Using the Geodiversity Index.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 xml:space="preserve">Geoheritage,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13, 61. </w:t>
            </w:r>
            <w:hyperlink r:id="rId7" w:history="1">
              <w:r w:rsidR="00527D97" w:rsidRPr="003559F8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</w:rPr>
                <w:t>https://doi.org/10.1007/s12371-021-00572-w</w:t>
              </w:r>
            </w:hyperlink>
            <w:r w:rsidR="00527D97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="00527D97" w:rsidRPr="00527D97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M22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300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73429B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 Tomić, N. (2016). Geoheritage Case Study: The Danube Region in Serbia. In T.A. Hose (Ed.), Geoheritage and Geotourism: A European Perspective (pp. 291-303). New York: Boydell &amp; Brewer.</w:t>
            </w:r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ISSN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:</w:t>
            </w:r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1756-4832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="0073429B" w:rsidRPr="0073429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M14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270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73429B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Hose, T.A., </w:t>
            </w: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Dj.A.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(2016). Protecting and Promoting the Geoheritage of South-East Europe. In T.A. Hose (Ed.), Geoheritage and Geotourism: A European Perspective (pp. 173-194). New York: Boydell &amp; Brewer.</w:t>
            </w:r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ISSN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:</w:t>
            </w:r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1756-4832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="0073429B" w:rsidRPr="0073429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M14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285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73429B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 Vujičić, M.D. (2016), Appreciating loess landscapes through history: the basis of modern loess geotourism in the Vojvodina region of North Serbia. G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eological Society Special Publication,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417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1), 229-239.</w:t>
            </w:r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hyperlink r:id="rId8" w:history="1">
              <w:r w:rsidR="0073429B" w:rsidRPr="003559F8">
                <w:rPr>
                  <w:rStyle w:val="Hyperlink"/>
                  <w:rFonts w:ascii="Times New Roman" w:eastAsia="Times New Roman" w:hAnsi="Times New Roman"/>
                  <w:color w:val="auto"/>
                  <w:sz w:val="14"/>
                  <w:szCs w:val="14"/>
                  <w:u w:val="none"/>
                  <w:lang w:val="sr-Latn-RS"/>
                </w:rPr>
                <w:t>https://doi.org/10.1144/SP417.5</w:t>
              </w:r>
            </w:hyperlink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="0073429B" w:rsidRPr="0073429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M14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210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917C90" w:rsidRDefault="00734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val="sr-Latn-RS"/>
              </w:rPr>
            </w:pPr>
            <w:r w:rsidRPr="0073429B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</w:rPr>
              <w:t xml:space="preserve">Vujičić, M. D., Kennell, J., Stankov, U., Gretzel, U., </w:t>
            </w:r>
            <w:r w:rsidRPr="0073429B"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Đ. A.,</w:t>
            </w:r>
            <w:r w:rsidRPr="0073429B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</w:rPr>
              <w:t xml:space="preserve"> &amp; Morrison, A. M. (2022). Keeping up with the drones! Techno-social dimensions of tourist drone videography. Technology in Society, 68, 101838.</w:t>
            </w:r>
            <w:r w:rsidR="00917C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917C90" w:rsidRPr="00917C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val="sr-Latn-RS"/>
              </w:rPr>
              <w:t>https://doi.org/10.1016/j.techsoc.2021.101838</w:t>
            </w:r>
            <w:r w:rsidR="00917C90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bCs/>
                <w:color w:val="000000"/>
                <w:sz w:val="14"/>
                <w:szCs w:val="14"/>
                <w:lang w:val="sr-Latn-RS"/>
              </w:rPr>
              <w:t>(</w:t>
            </w:r>
            <w:r w:rsidR="00917C90" w:rsidRPr="00917C90"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  <w:lang w:val="sr-Latn-RS"/>
              </w:rPr>
              <w:t>M21a</w:t>
            </w:r>
            <w:r w:rsidR="003559F8"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306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73429B" w:rsidRDefault="007342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 w:rsidRPr="0073429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</w:rPr>
              <w:t>Vasiljević, Đ. A</w:t>
            </w:r>
            <w:r w:rsidRPr="0073429B"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., Vujičić, M. D., Stankov, U., &amp; Dragović, N. (2023). Visitor motivation and perceived value of periurban parks-Case study of Kamenica park, Serbia. Journal of Outdoor Recreation and Tourism, 42, 100625.</w:t>
            </w:r>
            <w:r w:rsidR="00917C90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917C90" w:rsidRPr="00917C90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https://doi.org/10.1016/j.jort.2023.100625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Pr="00527D97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2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285"/>
        </w:trPr>
        <w:tc>
          <w:tcPr>
            <w:tcW w:w="709" w:type="dxa"/>
            <w:vAlign w:val="center"/>
          </w:tcPr>
          <w:p w:rsidR="00470B87" w:rsidRDefault="00470B87">
            <w:pPr>
              <w:numPr>
                <w:ilvl w:val="0"/>
                <w:numId w:val="1"/>
              </w:num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4"/>
                <w:szCs w:val="14"/>
              </w:rPr>
            </w:pPr>
          </w:p>
        </w:tc>
        <w:tc>
          <w:tcPr>
            <w:tcW w:w="8763" w:type="dxa"/>
            <w:gridSpan w:val="13"/>
            <w:shd w:val="clear" w:color="auto" w:fill="auto"/>
          </w:tcPr>
          <w:p w:rsidR="00470B87" w:rsidRPr="0073429B" w:rsidRDefault="00B15F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4"/>
                <w:szCs w:val="14"/>
              </w:rPr>
              <w:t>Vasiljević, Dj.A.,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Marković, S.B., Hose, T.A., Ding, Z., Guo, Z., Liu, X., Smalley, I., Lukić, T., Vujičić., M.D. (2014)</w:t>
            </w:r>
            <w:r>
              <w:rPr>
                <w:rFonts w:ascii="Times New Roman" w:eastAsia="Times New Roman" w:hAnsi="Times New Roman"/>
                <w:sz w:val="14"/>
                <w:szCs w:val="14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 xml:space="preserve"> Loess–palaeosol sequences in China and Europe: Common values and geoconservation issues. </w:t>
            </w:r>
            <w:r>
              <w:rPr>
                <w:rFonts w:ascii="Times New Roman" w:eastAsia="Times New Roman" w:hAnsi="Times New Roman"/>
                <w:i/>
                <w:color w:val="000000"/>
                <w:sz w:val="14"/>
                <w:szCs w:val="14"/>
              </w:rPr>
              <w:t>Catena</w:t>
            </w:r>
            <w:r>
              <w:rPr>
                <w:rFonts w:ascii="Times New Roman" w:eastAsia="Times New Roman" w:hAnsi="Times New Roman"/>
                <w:color w:val="000000"/>
                <w:sz w:val="14"/>
                <w:szCs w:val="14"/>
              </w:rPr>
              <w:t>, 117, 108-118.</w:t>
            </w:r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917C90" w:rsidRPr="00917C90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https://doi.org/10.1016/j.catena.2013.06.005</w:t>
            </w:r>
            <w:r w:rsidR="0073429B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 xml:space="preserve"> </w:t>
            </w:r>
            <w:r w:rsidR="003559F8">
              <w:rPr>
                <w:rFonts w:ascii="Times New Roman" w:eastAsia="Times New Roman" w:hAnsi="Times New Roman"/>
                <w:color w:val="000000"/>
                <w:sz w:val="14"/>
                <w:szCs w:val="14"/>
                <w:lang w:val="sr-Latn-RS"/>
              </w:rPr>
              <w:t>(</w:t>
            </w:r>
            <w:r w:rsidR="0073429B" w:rsidRPr="0073429B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M21a</w:t>
            </w:r>
            <w:r w:rsidR="003559F8">
              <w:rPr>
                <w:rFonts w:ascii="Times New Roman" w:eastAsia="Times New Roman" w:hAnsi="Times New Roman"/>
                <w:b/>
                <w:bCs/>
                <w:color w:val="000000"/>
                <w:sz w:val="14"/>
                <w:szCs w:val="14"/>
                <w:lang w:val="sr-Latn-RS"/>
              </w:rPr>
              <w:t>)</w:t>
            </w:r>
          </w:p>
        </w:tc>
      </w:tr>
      <w:tr w:rsidR="00470B87">
        <w:trPr>
          <w:trHeight w:val="105"/>
        </w:trPr>
        <w:tc>
          <w:tcPr>
            <w:tcW w:w="9472" w:type="dxa"/>
            <w:gridSpan w:val="14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 w:rsidR="00470B87">
        <w:trPr>
          <w:trHeight w:val="115"/>
        </w:trPr>
        <w:tc>
          <w:tcPr>
            <w:tcW w:w="4856" w:type="dxa"/>
            <w:gridSpan w:val="7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цитата</w:t>
            </w:r>
          </w:p>
        </w:tc>
        <w:tc>
          <w:tcPr>
            <w:tcW w:w="4616" w:type="dxa"/>
            <w:gridSpan w:val="7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1004 (SCOPUS)</w:t>
            </w:r>
          </w:p>
        </w:tc>
      </w:tr>
      <w:tr w:rsidR="00470B87">
        <w:trPr>
          <w:trHeight w:val="70"/>
        </w:trPr>
        <w:tc>
          <w:tcPr>
            <w:tcW w:w="4856" w:type="dxa"/>
            <w:gridSpan w:val="7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Укупан број радова са SCI (SSCI) листе</w:t>
            </w:r>
          </w:p>
        </w:tc>
        <w:tc>
          <w:tcPr>
            <w:tcW w:w="4616" w:type="dxa"/>
            <w:gridSpan w:val="7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36</w:t>
            </w:r>
          </w:p>
        </w:tc>
      </w:tr>
      <w:tr w:rsidR="00470B87">
        <w:trPr>
          <w:trHeight w:val="75"/>
        </w:trPr>
        <w:tc>
          <w:tcPr>
            <w:tcW w:w="4856" w:type="dxa"/>
            <w:gridSpan w:val="7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Тренутно учешће на пројектима</w:t>
            </w:r>
          </w:p>
        </w:tc>
        <w:tc>
          <w:tcPr>
            <w:tcW w:w="1436" w:type="dxa"/>
            <w:gridSpan w:val="4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Домаћи: 1</w:t>
            </w:r>
          </w:p>
        </w:tc>
        <w:tc>
          <w:tcPr>
            <w:tcW w:w="3180" w:type="dxa"/>
            <w:gridSpan w:val="3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Међународни: 3</w:t>
            </w:r>
          </w:p>
        </w:tc>
      </w:tr>
      <w:tr w:rsidR="00470B87">
        <w:trPr>
          <w:trHeight w:val="362"/>
        </w:trPr>
        <w:tc>
          <w:tcPr>
            <w:tcW w:w="2895" w:type="dxa"/>
            <w:gridSpan w:val="4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Усавршавања </w:t>
            </w:r>
          </w:p>
        </w:tc>
        <w:tc>
          <w:tcPr>
            <w:tcW w:w="6577" w:type="dxa"/>
            <w:gridSpan w:val="10"/>
            <w:vAlign w:val="center"/>
          </w:tcPr>
          <w:p w:rsidR="00470B87" w:rsidRDefault="00B15F38" w:rsidP="003559F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University of Oradea, Romania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br/>
              <w:t>University Primorska, Slovenia</w:t>
            </w:r>
          </w:p>
          <w:p w:rsidR="00470B87" w:rsidRDefault="00B15F38" w:rsidP="003559F8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University of Olomouc, Czech Republic</w:t>
            </w:r>
          </w:p>
        </w:tc>
      </w:tr>
      <w:tr w:rsidR="00470B87">
        <w:trPr>
          <w:trHeight w:val="448"/>
        </w:trPr>
        <w:tc>
          <w:tcPr>
            <w:tcW w:w="2895" w:type="dxa"/>
            <w:gridSpan w:val="4"/>
            <w:vAlign w:val="center"/>
          </w:tcPr>
          <w:p w:rsidR="00470B87" w:rsidRDefault="00B15F38">
            <w:pPr>
              <w:tabs>
                <w:tab w:val="left" w:pos="567"/>
              </w:tabs>
              <w:spacing w:after="60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Други подаци које сматрате релевантним</w:t>
            </w:r>
          </w:p>
        </w:tc>
        <w:tc>
          <w:tcPr>
            <w:tcW w:w="6577" w:type="dxa"/>
            <w:gridSpan w:val="10"/>
            <w:vAlign w:val="center"/>
          </w:tcPr>
          <w:p w:rsidR="00470B87" w:rsidRDefault="00B15F38">
            <w:pPr>
              <w:tabs>
                <w:tab w:val="left" w:pos="147"/>
              </w:tabs>
              <w:spacing w:after="6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Уредник у два часописа: De Gruyter Open Geosciences (IF 0.899) и Geoconservation Research (GCR) journal; Члан одбора МакГеопарк у С. Македонији; Национални евалуатор за заштићена подручја за WWF Adria (2017.); Члан групе за истраживање леса и геосналеђа на ДГТХ; Департмански координатор за међународну сарадњу (2015-2021 и члан маркетинг тима ДГТХ (2011-2015)</w:t>
            </w:r>
          </w:p>
        </w:tc>
      </w:tr>
    </w:tbl>
    <w:p w:rsidR="00470B87" w:rsidRDefault="00470B87">
      <w:pPr>
        <w:rPr>
          <w:rFonts w:ascii="Times New Roman" w:eastAsia="Times New Roman" w:hAnsi="Times New Roman"/>
          <w:sz w:val="14"/>
          <w:szCs w:val="14"/>
        </w:rPr>
      </w:pPr>
      <w:bookmarkStart w:id="0" w:name="_GoBack"/>
      <w:bookmarkEnd w:id="0"/>
    </w:p>
    <w:sectPr w:rsidR="00470B87">
      <w:pgSz w:w="12240" w:h="15840"/>
      <w:pgMar w:top="726" w:right="1440" w:bottom="139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 Verdana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03C56"/>
    <w:multiLevelType w:val="multilevel"/>
    <w:tmpl w:val="F90CD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B87"/>
    <w:rsid w:val="003559F8"/>
    <w:rsid w:val="00470B87"/>
    <w:rsid w:val="00527D97"/>
    <w:rsid w:val="0073429B"/>
    <w:rsid w:val="00917C90"/>
    <w:rsid w:val="00B1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D2814"/>
  <w15:docId w15:val="{E7166A0B-7378-0240-BB1A-DA11F373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sr-Cyrl-CS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582A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uiPriority w:val="99"/>
    <w:unhideWhenUsed/>
    <w:rsid w:val="00EE582A"/>
    <w:rPr>
      <w:color w:val="0000FF"/>
      <w:u w:val="single"/>
    </w:rPr>
  </w:style>
  <w:style w:type="paragraph" w:styleId="NoSpacing">
    <w:name w:val="No Spacing"/>
    <w:uiPriority w:val="1"/>
    <w:qFormat/>
    <w:rsid w:val="00DF1880"/>
    <w:rPr>
      <w:rFonts w:eastAsia="Times New Roman" w:cs="Times New Roman"/>
    </w:rPr>
  </w:style>
  <w:style w:type="paragraph" w:customStyle="1" w:styleId="Default">
    <w:name w:val="Default"/>
    <w:rsid w:val="00DF1880"/>
    <w:pPr>
      <w:widowControl w:val="0"/>
      <w:autoSpaceDE w:val="0"/>
      <w:autoSpaceDN w:val="0"/>
      <w:adjustRightInd w:val="0"/>
    </w:pPr>
    <w:rPr>
      <w:rFonts w:ascii="C Verdana" w:eastAsia="Times New Roman" w:hAnsi="C Verdana" w:cs="C Verdana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7D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144/SP417.5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007/s12371-021-00572-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3986/AGS.875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L6jjBb5+UzoNINOxF6sxc4nRLw==">AMUW2mVOztZAY7b0QEFnefj1m3YPkPfJBJDbcyZYYzSnXHYRmu0akzpxcBGJkVtYKZ/p+2tt6sucVRomhEBgbFKzm3SFRotflRmOJGHGEeOnslTILo7s/ew=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Faculty of Sciences, University of Novi Sad</Company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Marija</cp:lastModifiedBy>
  <cp:revision>4</cp:revision>
  <cp:lastPrinted>2023-10-31T11:44:00Z</cp:lastPrinted>
  <dcterms:created xsi:type="dcterms:W3CDTF">2023-11-01T11:22:00Z</dcterms:created>
  <dcterms:modified xsi:type="dcterms:W3CDTF">2023-11-06T23:04:00Z</dcterms:modified>
</cp:coreProperties>
</file>