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628" w:rsidRDefault="0088462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Arial" w:eastAsia="Arial" w:hAnsi="Arial" w:cs="Arial"/>
          <w:color w:val="000000"/>
        </w:rPr>
      </w:pPr>
    </w:p>
    <w:tbl>
      <w:tblPr>
        <w:tblStyle w:val="a"/>
        <w:tblW w:w="9384" w:type="dxa"/>
        <w:tblLayout w:type="fixed"/>
        <w:tblLook w:val="0000" w:firstRow="0" w:lastRow="0" w:firstColumn="0" w:lastColumn="0" w:noHBand="0" w:noVBand="0"/>
      </w:tblPr>
      <w:tblGrid>
        <w:gridCol w:w="565"/>
        <w:gridCol w:w="30"/>
        <w:gridCol w:w="1104"/>
        <w:gridCol w:w="507"/>
        <w:gridCol w:w="344"/>
        <w:gridCol w:w="1417"/>
        <w:gridCol w:w="108"/>
        <w:gridCol w:w="64"/>
        <w:gridCol w:w="1061"/>
        <w:gridCol w:w="43"/>
        <w:gridCol w:w="374"/>
        <w:gridCol w:w="1469"/>
        <w:gridCol w:w="270"/>
        <w:gridCol w:w="2028"/>
      </w:tblGrid>
      <w:tr w:rsidR="00884628" w:rsidRPr="004E76E1" w:rsidTr="00131ACC">
        <w:trPr>
          <w:trHeight w:val="274"/>
        </w:trPr>
        <w:tc>
          <w:tcPr>
            <w:tcW w:w="41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Име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и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презиме</w:t>
            </w:r>
            <w:proofErr w:type="spellEnd"/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Милана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М.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Пантелић</w:t>
            </w:r>
            <w:proofErr w:type="spellEnd"/>
          </w:p>
        </w:tc>
      </w:tr>
      <w:tr w:rsidR="00884628" w:rsidRPr="004E76E1" w:rsidTr="00131ACC">
        <w:trPr>
          <w:trHeight w:val="278"/>
        </w:trPr>
        <w:tc>
          <w:tcPr>
            <w:tcW w:w="41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Звање</w:t>
            </w:r>
            <w:proofErr w:type="spellEnd"/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Редовни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професор</w:t>
            </w:r>
            <w:proofErr w:type="spellEnd"/>
          </w:p>
        </w:tc>
      </w:tr>
      <w:tr w:rsidR="00884628" w:rsidRPr="004E76E1" w:rsidTr="00131ACC">
        <w:trPr>
          <w:trHeight w:val="427"/>
        </w:trPr>
        <w:tc>
          <w:tcPr>
            <w:tcW w:w="41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Назив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институције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у 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којој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наставник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ради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пуним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или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непуним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радним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временом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и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од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када</w:t>
            </w:r>
            <w:proofErr w:type="spellEnd"/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Природно-математички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факултет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Департман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географију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туризам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хотелијерство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од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2009.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године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Датум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избора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последње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звање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: 01.12.2022</w:t>
            </w:r>
          </w:p>
        </w:tc>
      </w:tr>
      <w:tr w:rsidR="00884628" w:rsidRPr="004E76E1" w:rsidTr="00131ACC">
        <w:trPr>
          <w:trHeight w:val="77"/>
        </w:trPr>
        <w:tc>
          <w:tcPr>
            <w:tcW w:w="41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Ужа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научна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односно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уметничка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област</w:t>
            </w:r>
            <w:proofErr w:type="spellEnd"/>
          </w:p>
        </w:tc>
        <w:tc>
          <w:tcPr>
            <w:tcW w:w="52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Геоекологија</w:t>
            </w:r>
            <w:proofErr w:type="spellEnd"/>
          </w:p>
        </w:tc>
      </w:tr>
      <w:tr w:rsidR="00884628" w:rsidRPr="004E76E1" w:rsidTr="00131ACC">
        <w:trPr>
          <w:trHeight w:val="323"/>
        </w:trPr>
        <w:tc>
          <w:tcPr>
            <w:tcW w:w="93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Академска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каријера</w:t>
            </w:r>
            <w:proofErr w:type="spellEnd"/>
          </w:p>
        </w:tc>
      </w:tr>
      <w:tr w:rsidR="00884628" w:rsidRPr="004E76E1" w:rsidTr="00131ACC">
        <w:trPr>
          <w:trHeight w:val="427"/>
        </w:trPr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884628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Година</w:t>
            </w:r>
            <w:proofErr w:type="spellEnd"/>
          </w:p>
        </w:tc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Институција</w:t>
            </w:r>
            <w:proofErr w:type="spellEnd"/>
          </w:p>
        </w:tc>
        <w:tc>
          <w:tcPr>
            <w:tcW w:w="1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Научна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или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уметничка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</w:t>
            </w:r>
            <w:proofErr w:type="spellEnd"/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Ужа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научна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уметничка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или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стручна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област</w:t>
            </w:r>
            <w:proofErr w:type="spellEnd"/>
          </w:p>
        </w:tc>
      </w:tr>
      <w:tr w:rsidR="00884628" w:rsidRPr="004E76E1" w:rsidTr="00131ACC">
        <w:trPr>
          <w:trHeight w:val="280"/>
        </w:trPr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Избор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звање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2022.</w:t>
            </w:r>
          </w:p>
        </w:tc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Департман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географију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туризам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хотелијерство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ПМФ,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Нови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Сад</w:t>
            </w:r>
            <w:proofErr w:type="spellEnd"/>
          </w:p>
        </w:tc>
        <w:tc>
          <w:tcPr>
            <w:tcW w:w="1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Географија</w:t>
            </w:r>
            <w:proofErr w:type="spellEnd"/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Геоекологија</w:t>
            </w:r>
            <w:proofErr w:type="spellEnd"/>
          </w:p>
        </w:tc>
      </w:tr>
      <w:tr w:rsidR="00884628" w:rsidRPr="004E76E1" w:rsidTr="00131ACC">
        <w:trPr>
          <w:trHeight w:val="280"/>
        </w:trPr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Докторат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2012.</w:t>
            </w:r>
          </w:p>
        </w:tc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Департман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географију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туризам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хотелијерство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ПМФ,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Нови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Сад</w:t>
            </w:r>
            <w:proofErr w:type="spellEnd"/>
          </w:p>
        </w:tc>
        <w:tc>
          <w:tcPr>
            <w:tcW w:w="1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Географија</w:t>
            </w:r>
            <w:proofErr w:type="spellEnd"/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Друштвена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географија</w:t>
            </w:r>
            <w:proofErr w:type="spellEnd"/>
          </w:p>
        </w:tc>
      </w:tr>
      <w:tr w:rsidR="00884628" w:rsidRPr="004E76E1" w:rsidTr="00131ACC">
        <w:trPr>
          <w:trHeight w:val="280"/>
        </w:trPr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Магистратура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2008.</w:t>
            </w:r>
          </w:p>
        </w:tc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Департман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географију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туризам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хотелијерство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ПМФ,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Нови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Сад</w:t>
            </w:r>
            <w:proofErr w:type="spellEnd"/>
          </w:p>
        </w:tc>
        <w:tc>
          <w:tcPr>
            <w:tcW w:w="1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Географија</w:t>
            </w:r>
            <w:proofErr w:type="spellEnd"/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Друштвена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географија</w:t>
            </w:r>
            <w:proofErr w:type="spellEnd"/>
          </w:p>
        </w:tc>
      </w:tr>
      <w:tr w:rsidR="00884628" w:rsidRPr="004E76E1" w:rsidTr="00131ACC">
        <w:trPr>
          <w:trHeight w:val="280"/>
        </w:trPr>
        <w:tc>
          <w:tcPr>
            <w:tcW w:w="1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Диплома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2005.</w:t>
            </w:r>
          </w:p>
        </w:tc>
        <w:tc>
          <w:tcPr>
            <w:tcW w:w="26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Департман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географију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туризам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хотелијерство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ПМФ,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Нови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Сад</w:t>
            </w:r>
            <w:proofErr w:type="spellEnd"/>
          </w:p>
        </w:tc>
        <w:tc>
          <w:tcPr>
            <w:tcW w:w="1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Географија</w:t>
            </w:r>
            <w:proofErr w:type="spellEnd"/>
          </w:p>
        </w:tc>
        <w:tc>
          <w:tcPr>
            <w:tcW w:w="2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Друштвена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географија</w:t>
            </w:r>
            <w:proofErr w:type="spellEnd"/>
          </w:p>
        </w:tc>
      </w:tr>
      <w:tr w:rsidR="00884628" w:rsidRPr="004E76E1" w:rsidTr="00131ACC">
        <w:trPr>
          <w:trHeight w:val="427"/>
        </w:trPr>
        <w:tc>
          <w:tcPr>
            <w:tcW w:w="93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Списак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предмета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које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је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наставник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акредитован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првом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или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другом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степену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студија</w:t>
            </w:r>
            <w:proofErr w:type="spellEnd"/>
          </w:p>
        </w:tc>
      </w:tr>
      <w:tr w:rsidR="00884628" w:rsidRPr="004E76E1" w:rsidTr="00131ACC">
        <w:trPr>
          <w:trHeight w:val="82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Р.Б.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Ознака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предмета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Назив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Вид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наставе</w:t>
            </w:r>
            <w:proofErr w:type="spellEnd"/>
          </w:p>
          <w:p w:rsidR="00884628" w:rsidRPr="004E76E1" w:rsidRDefault="00884628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Назив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студијског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програма</w:t>
            </w:r>
            <w:proofErr w:type="spellEnd"/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Врста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студија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(ОСС, ССС, ОАС, МСС, МАС, САС)</w:t>
            </w:r>
          </w:p>
        </w:tc>
      </w:tr>
      <w:tr w:rsidR="00884628" w:rsidRPr="004E76E1" w:rsidTr="00131ACC">
        <w:trPr>
          <w:trHeight w:val="28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Т324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Управљање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заштићеним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природним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добрима</w:t>
            </w:r>
            <w:proofErr w:type="spellEnd"/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академске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студије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Туризам</w:t>
            </w:r>
            <w:proofErr w:type="spellEnd"/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ОАС</w:t>
            </w:r>
          </w:p>
        </w:tc>
      </w:tr>
      <w:tr w:rsidR="00884628" w:rsidRPr="004E76E1" w:rsidTr="00131ACC">
        <w:trPr>
          <w:trHeight w:val="28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ГЕ404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Агроеколошки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проблеми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Војводини</w:t>
            </w:r>
            <w:proofErr w:type="spellEnd"/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академске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студије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Географија</w:t>
            </w:r>
            <w:proofErr w:type="spellEnd"/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ОАС</w:t>
            </w:r>
          </w:p>
        </w:tc>
      </w:tr>
      <w:tr w:rsidR="00884628" w:rsidRPr="004E76E1" w:rsidTr="00131ACC">
        <w:trPr>
          <w:trHeight w:val="283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ДГ604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Заштита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природе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Србији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Југоисточној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Европи</w:t>
            </w:r>
            <w:proofErr w:type="spellEnd"/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Предавања</w:t>
            </w:r>
            <w:proofErr w:type="spellEnd"/>
          </w:p>
        </w:tc>
        <w:tc>
          <w:tcPr>
            <w:tcW w:w="21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академске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студије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Географија</w:t>
            </w:r>
            <w:proofErr w:type="spellEnd"/>
          </w:p>
          <w:p w:rsidR="00884628" w:rsidRPr="004E76E1" w:rsidRDefault="00AE79B4">
            <w:pPr>
              <w:tabs>
                <w:tab w:val="left" w:pos="567"/>
              </w:tabs>
              <w:spacing w:after="60"/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академске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студије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Професор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географије</w:t>
            </w:r>
            <w:proofErr w:type="spellEnd"/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ОАС</w:t>
            </w:r>
          </w:p>
        </w:tc>
      </w:tr>
      <w:tr w:rsidR="00884628" w:rsidRPr="004E76E1" w:rsidTr="00131ACC">
        <w:trPr>
          <w:trHeight w:val="248"/>
        </w:trPr>
        <w:tc>
          <w:tcPr>
            <w:tcW w:w="93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Репрезентативне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референце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(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минимално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5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више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од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10)</w:t>
            </w:r>
          </w:p>
        </w:tc>
      </w:tr>
      <w:tr w:rsidR="00884628" w:rsidRPr="004E76E1" w:rsidTr="00131ACC">
        <w:trPr>
          <w:trHeight w:val="279"/>
        </w:trPr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884628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Stojanović, V., Pavić, D., </w:t>
            </w:r>
            <w:r w:rsidRPr="004E76E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Pantelić M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(2014).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Geografija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životne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sredine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Univerzitet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u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Novom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Sadu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Prirodno-matematički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fakultet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Departman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za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geografiju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turizam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hotelijerstvo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298.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ISBN</w:t>
            </w:r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978-86-7031-379-8</w:t>
            </w:r>
          </w:p>
        </w:tc>
      </w:tr>
      <w:tr w:rsidR="00884628" w:rsidRPr="004E76E1" w:rsidTr="00131ACC">
        <w:trPr>
          <w:trHeight w:val="279"/>
        </w:trPr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884628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 w:rsidP="009917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</w:t>
            </w:r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ojanović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V., </w:t>
            </w:r>
            <w:r w:rsidRPr="004E76E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Pantelić M.,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Savić S. (2022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. Environmental Issues in Serbia: Pollution and Nature Conservation. Chapter V. In: The Geography of Serbia - Nature, People, Economy. Springer, 263-277.</w:t>
            </w:r>
            <w:r w:rsidR="00553E41"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ISBN</w:t>
            </w:r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</w:t>
            </w:r>
            <w:r w:rsidR="00553E41"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978-3-030-74701-5</w:t>
            </w:r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99173C" w:rsidRPr="0099173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(M13)</w:t>
            </w:r>
          </w:p>
        </w:tc>
      </w:tr>
      <w:tr w:rsidR="00884628" w:rsidRPr="004E76E1" w:rsidTr="00131ACC">
        <w:trPr>
          <w:trHeight w:val="279"/>
        </w:trPr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884628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 w:rsidP="009917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Pantelić M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Dolinaj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D., Savić S., Milošević D., Obradović S.,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Leščešen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I., Ogrin M., Ogrin D.,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Glojek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K.,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Trobec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T. 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2022). Physical-chemical water quality study of the Sava River in Serbia using the statistical and factor analysis.</w:t>
            </w:r>
            <w:r w:rsidRPr="004E76E1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 xml:space="preserve"> Water Resources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49(6), 1048-1058.</w:t>
            </w:r>
            <w:r w:rsidR="00553E41"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hyperlink r:id="rId6" w:history="1">
              <w:r w:rsidR="00553E41" w:rsidRPr="0099173C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</w:rPr>
                <w:t>https://doi.org/10.1134/S0097807822060136</w:t>
              </w:r>
            </w:hyperlink>
            <w:r w:rsidR="0099173C" w:rsidRPr="0099173C">
              <w:rPr>
                <w:rStyle w:val="Hyperlink"/>
                <w:rFonts w:ascii="Times New Roman" w:eastAsia="Times New Roman" w:hAnsi="Times New Roman" w:cs="Times New Roman"/>
                <w:color w:val="auto"/>
                <w:sz w:val="16"/>
                <w:szCs w:val="16"/>
                <w:u w:val="none"/>
              </w:rPr>
              <w:t xml:space="preserve"> </w:t>
            </w:r>
            <w:r w:rsidR="0099173C" w:rsidRPr="0099173C">
              <w:rPr>
                <w:rStyle w:val="Hyperlink"/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u w:val="none"/>
              </w:rPr>
              <w:t>(M23)</w:t>
            </w:r>
          </w:p>
        </w:tc>
      </w:tr>
      <w:tr w:rsidR="00884628" w:rsidRPr="004E76E1" w:rsidTr="00131ACC">
        <w:trPr>
          <w:trHeight w:val="279"/>
        </w:trPr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884628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 w:rsidP="0099173C">
            <w:pPr>
              <w:tabs>
                <w:tab w:val="left" w:pos="567"/>
              </w:tabs>
              <w:spacing w:after="60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Pantelić M.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Dolinaj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D., Savić S.,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Leščešen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I., Stojanović V., (2016). Water Quality and Population Standpoints as Factors Influencing the Utilization for Agricultural Purposes of the Great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Bačka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Canal, Serbia. </w:t>
            </w:r>
            <w:r w:rsidRPr="004E76E1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Journal of Environmental Science and Management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, 19(2), 8-14.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ISSN</w:t>
            </w:r>
            <w:r w:rsidR="0099173C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0119-1144 </w:t>
            </w:r>
            <w:r w:rsidR="0099173C">
              <w:rPr>
                <w:rFonts w:ascii="Times New Roman" w:eastAsia="Times New Roman" w:hAnsi="Times New Roman" w:cs="Times New Roman"/>
                <w:sz w:val="16"/>
                <w:szCs w:val="16"/>
              </w:rPr>
              <w:t>doi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:10.47125/</w:t>
            </w:r>
            <w:proofErr w:type="spellStart"/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jesam</w:t>
            </w:r>
            <w:proofErr w:type="spellEnd"/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/2016_2/02</w:t>
            </w:r>
            <w:r w:rsidR="009917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9173C" w:rsidRPr="0099173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(M23)</w:t>
            </w:r>
          </w:p>
        </w:tc>
      </w:tr>
      <w:tr w:rsidR="00884628" w:rsidRPr="004E76E1" w:rsidTr="00131ACC">
        <w:trPr>
          <w:trHeight w:val="279"/>
        </w:trPr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884628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 w:rsidP="0099173C">
            <w:pPr>
              <w:tabs>
                <w:tab w:val="left" w:pos="567"/>
              </w:tabs>
              <w:spacing w:after="60"/>
              <w:ind w:left="0" w:hanging="2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Pantelić, M.,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Dolinaj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D.,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Leščešen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I., Savić, S., Milošević, D. (2015). Water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q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uality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o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f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he Pannonian Basin Rivers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he Danube,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he Sava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nd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he Tisa (Serbia)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nd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ts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c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orrelation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w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ith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a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ir 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t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emperature. </w:t>
            </w:r>
            <w:r w:rsidRPr="004E76E1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Thermal Science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="00215941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19 (2), 477-485. 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https://doi.org/</w:t>
            </w:r>
            <w:hyperlink r:id="rId7">
              <w:r w:rsidRPr="004E76E1">
                <w:rPr>
                  <w:rFonts w:ascii="Times New Roman" w:eastAsia="Times New Roman" w:hAnsi="Times New Roman" w:cs="Times New Roman"/>
                  <w:sz w:val="16"/>
                  <w:szCs w:val="16"/>
                </w:rPr>
                <w:t>10.2298/TSCI150325114P</w:t>
              </w:r>
            </w:hyperlink>
            <w:r w:rsidR="0099173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99173C" w:rsidRPr="0099173C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(M23)</w:t>
            </w:r>
          </w:p>
        </w:tc>
      </w:tr>
      <w:tr w:rsidR="00884628" w:rsidRPr="004E76E1" w:rsidTr="00131ACC">
        <w:trPr>
          <w:trHeight w:val="279"/>
        </w:trPr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884628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4628" w:rsidRPr="004E76E1" w:rsidRDefault="00AE79B4" w:rsidP="009917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Obradović S., Stojanović V.,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Tešin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Šećerov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I., </w:t>
            </w:r>
            <w:r w:rsidRPr="004E76E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Pantelić M.,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Dolinaj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D. (2022). Memorable Tourist Experiences in National Parks: Impacts on Future Intentions and Environmentally Responsible Behavior. </w:t>
            </w:r>
            <w:r w:rsidRPr="004E76E1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Sustainability,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15(1), 547.</w:t>
            </w:r>
            <w:r w:rsidR="00215941"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doi.org/10.3390/su15010547.</w:t>
            </w:r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99173C" w:rsidRPr="0099173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(M22)</w:t>
            </w:r>
            <w:r w:rsidR="0099173C" w:rsidRP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 </w:t>
            </w:r>
          </w:p>
        </w:tc>
      </w:tr>
      <w:tr w:rsidR="00131ACC" w:rsidRPr="004E76E1" w:rsidTr="00131ACC">
        <w:trPr>
          <w:trHeight w:val="279"/>
        </w:trPr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131ACC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9917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Obradović S., </w:t>
            </w:r>
            <w:r w:rsidRPr="004E76E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Pantelić M.,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Stojanović V.,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Tešin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Dolinaj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D. (2020). Danube water quality and assessment on ecotourism in the biosphere reserve ‘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Bačko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Podunavlje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’ in Serbia. </w:t>
            </w:r>
            <w:r w:rsidRPr="004E76E1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Water Supply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20(4), 1215–1228.  </w:t>
            </w:r>
            <w:hyperlink r:id="rId8" w:history="1">
              <w:r w:rsidR="0099173C" w:rsidRPr="0099173C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</w:rPr>
                <w:t>https://doi.org/10.2166/ws.2020.036</w:t>
              </w:r>
            </w:hyperlink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M(23)</w:t>
            </w:r>
          </w:p>
        </w:tc>
      </w:tr>
      <w:tr w:rsidR="00131ACC" w:rsidRPr="004E76E1" w:rsidTr="00131ACC">
        <w:trPr>
          <w:trHeight w:val="279"/>
        </w:trPr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131ACC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9917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Obradović S., Stojanović V., Kovačić S., Jovanović T., </w:t>
            </w:r>
            <w:r w:rsidRPr="004E76E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Pantelić M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., Vujičić M. 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2021</w:t>
            </w: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Assessment of residents’ attitudes toward sustainable tourism development - A case study of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Bačko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Podunavlje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Biosphere Reserve, Serbia. </w:t>
            </w:r>
            <w:r w:rsidRPr="004E76E1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</w:rPr>
              <w:t>Journal of Outdoor Recreation and Tourism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35, 100384. </w:t>
            </w:r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doi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:10.1016/j.jort.2021.100384</w:t>
            </w:r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99173C" w:rsidRPr="0099173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M(23)</w:t>
            </w:r>
          </w:p>
        </w:tc>
      </w:tr>
      <w:tr w:rsidR="000B301F" w:rsidRPr="004E76E1" w:rsidTr="00131ACC">
        <w:trPr>
          <w:trHeight w:val="279"/>
        </w:trPr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01F" w:rsidRPr="004E76E1" w:rsidRDefault="000B301F" w:rsidP="00131ACC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01F" w:rsidRPr="004E76E1" w:rsidRDefault="000B301F" w:rsidP="009917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Milentijević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N.,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Valjarević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A.,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Bačević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R.N.,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Ristić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D., Kalkan K.,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Cimbaljević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M.,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Dragojlović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J., Savić S., Pantelić M. 2021. Assessment of observed and projected climate changes in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Bačka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(Serbia) using Mann-Kendall and BCC Model. </w:t>
            </w:r>
            <w:r w:rsidRPr="004E76E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IDOJARAS</w:t>
            </w:r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 126 (1), 47-68. doi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:10.28974/idojaras.2022.1.3</w:t>
            </w:r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99173C" w:rsidRPr="0099173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(M23)</w:t>
            </w:r>
          </w:p>
        </w:tc>
      </w:tr>
      <w:tr w:rsidR="000B301F" w:rsidRPr="004E76E1" w:rsidTr="00131ACC">
        <w:trPr>
          <w:trHeight w:val="279"/>
        </w:trPr>
        <w:tc>
          <w:tcPr>
            <w:tcW w:w="5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01F" w:rsidRPr="004E76E1" w:rsidRDefault="000B301F" w:rsidP="00131ACC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78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301F" w:rsidRPr="004E76E1" w:rsidRDefault="000B301F" w:rsidP="009917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Ogrin M., Ogrin D., Milošević D., Pantelić M.,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Dolinaj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D., Trobec T.,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Glojek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K., Savić S. 2022. Changes in daily air temperatures and precipitation across the Sava River Basin and their correlation with large-scale atmospheric circulations. </w:t>
            </w:r>
            <w:r w:rsidRPr="004E76E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Theoretical and Applied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Pr="004E76E1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Climatology</w:t>
            </w:r>
            <w:proofErr w:type="gramStart"/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.  </w:t>
            </w:r>
            <w:proofErr w:type="spellStart"/>
            <w:proofErr w:type="gramEnd"/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doi</w:t>
            </w:r>
            <w:proofErr w:type="spellEnd"/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</w:t>
            </w:r>
            <w:r w:rsidRPr="004E76E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10.1007/s00704-022-04024-5</w:t>
            </w:r>
            <w:r w:rsidR="0099173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bookmarkStart w:id="0" w:name="_GoBack"/>
            <w:r w:rsidR="0099173C" w:rsidRPr="0099173C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(M22)</w:t>
            </w:r>
            <w:bookmarkEnd w:id="0"/>
          </w:p>
        </w:tc>
      </w:tr>
      <w:tr w:rsidR="00131ACC" w:rsidRPr="004E76E1" w:rsidTr="00131ACC">
        <w:trPr>
          <w:trHeight w:val="167"/>
        </w:trPr>
        <w:tc>
          <w:tcPr>
            <w:tcW w:w="93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131ACC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Збирни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подаци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научне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,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односно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уметничке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и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стручне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активности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наставника</w:t>
            </w:r>
            <w:proofErr w:type="spellEnd"/>
          </w:p>
        </w:tc>
      </w:tr>
      <w:tr w:rsidR="00131ACC" w:rsidRPr="004E76E1" w:rsidTr="00131ACC">
        <w:trPr>
          <w:trHeight w:val="227"/>
        </w:trPr>
        <w:tc>
          <w:tcPr>
            <w:tcW w:w="4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131ACC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Укупан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број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цитата</w:t>
            </w:r>
            <w:proofErr w:type="spellEnd"/>
          </w:p>
        </w:tc>
        <w:tc>
          <w:tcPr>
            <w:tcW w:w="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0B46E7" w:rsidP="00131ACC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307</w:t>
            </w:r>
            <w:r w:rsidR="00131ACC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</w:t>
            </w:r>
            <w:proofErr w:type="spellStart"/>
            <w:r w:rsidR="00131ACC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према</w:t>
            </w:r>
            <w:proofErr w:type="spellEnd"/>
            <w:r w:rsidR="00131ACC"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Scopus-у)</w:t>
            </w:r>
          </w:p>
        </w:tc>
      </w:tr>
      <w:tr w:rsidR="00131ACC" w:rsidRPr="004E76E1" w:rsidTr="00131ACC">
        <w:trPr>
          <w:trHeight w:val="178"/>
        </w:trPr>
        <w:tc>
          <w:tcPr>
            <w:tcW w:w="4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131ACC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Укупан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број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радова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SCI (SSCI)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листе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530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131ACC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131ACC" w:rsidRPr="004E76E1" w:rsidTr="00131ACC">
        <w:trPr>
          <w:trHeight w:val="278"/>
        </w:trPr>
        <w:tc>
          <w:tcPr>
            <w:tcW w:w="4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131ACC">
            <w:pPr>
              <w:widowControl w:val="0"/>
              <w:tabs>
                <w:tab w:val="left" w:pos="567"/>
              </w:tabs>
              <w:ind w:left="0" w:right="-172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Тренутно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учешће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пројектима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131ACC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Домаћи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:  2</w:t>
            </w:r>
          </w:p>
        </w:tc>
        <w:tc>
          <w:tcPr>
            <w:tcW w:w="3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131ACC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Међународни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: /</w:t>
            </w:r>
          </w:p>
        </w:tc>
      </w:tr>
      <w:tr w:rsidR="00131ACC" w:rsidRPr="004E76E1" w:rsidTr="00131ACC">
        <w:trPr>
          <w:trHeight w:val="243"/>
        </w:trPr>
        <w:tc>
          <w:tcPr>
            <w:tcW w:w="2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131ACC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Усавршавања</w:t>
            </w:r>
            <w:proofErr w:type="spellEnd"/>
          </w:p>
        </w:tc>
        <w:tc>
          <w:tcPr>
            <w:tcW w:w="717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131ACC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31ACC" w:rsidTr="00131ACC">
        <w:trPr>
          <w:trHeight w:val="261"/>
        </w:trPr>
        <w:tc>
          <w:tcPr>
            <w:tcW w:w="93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ACC" w:rsidRPr="004E76E1" w:rsidRDefault="00131ACC" w:rsidP="00131ACC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Други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подаци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које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сматрате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релевантним</w:t>
            </w:r>
            <w:proofErr w:type="spellEnd"/>
          </w:p>
          <w:p w:rsidR="00131ACC" w:rsidRDefault="00131ACC" w:rsidP="00131ACC">
            <w:pPr>
              <w:widowControl w:val="0"/>
              <w:tabs>
                <w:tab w:val="left" w:pos="567"/>
              </w:tabs>
              <w:ind w:left="0"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Члан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пројекту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: “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Унапређење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животне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средине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Војводини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у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циљу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адаптације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климатске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промене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смањења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ризика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од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природних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непогода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”.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Покрајински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секретаријат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за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високо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образовање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научноистраживачку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делатност</w:t>
            </w:r>
            <w:proofErr w:type="spellEnd"/>
            <w:r w:rsidRPr="004E76E1">
              <w:rPr>
                <w:rFonts w:ascii="Times New Roman" w:eastAsia="Times New Roman" w:hAnsi="Times New Roman" w:cs="Times New Roman"/>
                <w:sz w:val="16"/>
                <w:szCs w:val="16"/>
              </w:rPr>
              <w:t>, 2021 - 2024.</w:t>
            </w:r>
          </w:p>
        </w:tc>
      </w:tr>
    </w:tbl>
    <w:p w:rsidR="00884628" w:rsidRDefault="00884628" w:rsidP="000B301F">
      <w:pPr>
        <w:ind w:leftChars="0" w:left="0" w:firstLineChars="0" w:firstLine="0"/>
      </w:pPr>
    </w:p>
    <w:sectPr w:rsidR="00884628" w:rsidSect="00344B76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panose1 w:val="00000000000000000000"/>
    <w:charset w:val="00"/>
    <w:family w:val="roman"/>
    <w:notTrueType/>
    <w:pitch w:val="default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52A66"/>
    <w:multiLevelType w:val="multilevel"/>
    <w:tmpl w:val="7F405BF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628"/>
    <w:rsid w:val="000B301F"/>
    <w:rsid w:val="000B46E7"/>
    <w:rsid w:val="00131ACC"/>
    <w:rsid w:val="00215941"/>
    <w:rsid w:val="0027526E"/>
    <w:rsid w:val="00344B76"/>
    <w:rsid w:val="004E76E1"/>
    <w:rsid w:val="00553E41"/>
    <w:rsid w:val="00884628"/>
    <w:rsid w:val="008E0FD7"/>
    <w:rsid w:val="0099173C"/>
    <w:rsid w:val="00AE79B4"/>
    <w:rsid w:val="00E2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1B36ED"/>
  <w15:docId w15:val="{1B564877-DA9F-40CA-8E94-6688FF44B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4B76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rsid w:val="00344B76"/>
    <w:pPr>
      <w:keepNext/>
      <w:keepLines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344B7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344B7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344B7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344B7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344B7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344B76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rsid w:val="00344B76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CommentTextChar">
    <w:name w:val="Comment Text Char"/>
    <w:rsid w:val="00344B76"/>
    <w:rPr>
      <w:rFonts w:ascii="Calibri" w:eastAsia="Calibri" w:hAnsi="Calibri" w:cs="Times New Roman"/>
      <w:w w:val="100"/>
      <w:kern w:val="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CommentSubjectChar">
    <w:name w:val="Comment Subject Char"/>
    <w:rsid w:val="00344B76"/>
    <w:rPr>
      <w:rFonts w:ascii="Calibri" w:eastAsia="Calibri" w:hAnsi="Calibri" w:cs="Times New Roman"/>
      <w:b/>
      <w:bCs/>
      <w:w w:val="100"/>
      <w:kern w:val="0"/>
      <w:position w:val="-1"/>
      <w:sz w:val="20"/>
      <w:szCs w:val="20"/>
      <w:effect w:val="none"/>
      <w:vertAlign w:val="baseline"/>
      <w:cs w:val="0"/>
      <w:em w:val="none"/>
    </w:rPr>
  </w:style>
  <w:style w:type="character" w:customStyle="1" w:styleId="BalloonTextChar">
    <w:name w:val="Balloon Text Char"/>
    <w:rsid w:val="00344B76"/>
    <w:rPr>
      <w:rFonts w:ascii="Tahoma" w:eastAsia="Calibri" w:hAnsi="Tahoma" w:cs="Tahoma"/>
      <w:w w:val="100"/>
      <w:kern w:val="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ListLabel1">
    <w:name w:val="ListLabel 1"/>
    <w:rsid w:val="00344B7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sid w:val="00344B7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3">
    <w:name w:val="ListLabel 3"/>
    <w:rsid w:val="00344B7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4">
    <w:name w:val="ListLabel 4"/>
    <w:rsid w:val="00344B7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5">
    <w:name w:val="ListLabel 5"/>
    <w:rsid w:val="00344B7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6">
    <w:name w:val="ListLabel 6"/>
    <w:rsid w:val="00344B7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7">
    <w:name w:val="ListLabel 7"/>
    <w:rsid w:val="00344B7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8">
    <w:name w:val="ListLabel 8"/>
    <w:rsid w:val="00344B76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9">
    <w:name w:val="ListLabel 9"/>
    <w:rsid w:val="00344B76"/>
    <w:rPr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"/>
    <w:next w:val="BodyText"/>
    <w:rsid w:val="00344B76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rsid w:val="00344B76"/>
    <w:pPr>
      <w:spacing w:after="140" w:line="276" w:lineRule="auto"/>
    </w:pPr>
  </w:style>
  <w:style w:type="paragraph" w:styleId="List">
    <w:name w:val="List"/>
    <w:basedOn w:val="BodyText"/>
    <w:rsid w:val="00344B76"/>
    <w:rPr>
      <w:rFonts w:cs="Noto Sans Devanagari"/>
    </w:rPr>
  </w:style>
  <w:style w:type="paragraph" w:styleId="Caption">
    <w:name w:val="caption"/>
    <w:basedOn w:val="Normal"/>
    <w:rsid w:val="00344B76"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rsid w:val="00344B76"/>
    <w:pPr>
      <w:suppressLineNumbers/>
    </w:pPr>
    <w:rPr>
      <w:rFonts w:cs="Noto Sans Devanagari"/>
    </w:rPr>
  </w:style>
  <w:style w:type="paragraph" w:styleId="CommentText">
    <w:name w:val="annotation text"/>
    <w:basedOn w:val="Normal"/>
    <w:rsid w:val="00344B76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344B76"/>
    <w:rPr>
      <w:b/>
      <w:bCs/>
    </w:rPr>
  </w:style>
  <w:style w:type="paragraph" w:styleId="BalloonText">
    <w:name w:val="Balloon Text"/>
    <w:basedOn w:val="Normal"/>
    <w:rsid w:val="00344B76"/>
    <w:rPr>
      <w:rFonts w:ascii="Tahoma" w:hAnsi="Tahoma" w:cs="Tahoma"/>
      <w:sz w:val="16"/>
      <w:szCs w:val="16"/>
    </w:rPr>
  </w:style>
  <w:style w:type="paragraph" w:styleId="NoSpacing">
    <w:name w:val="No Spacing"/>
    <w:rsid w:val="00344B76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character" w:customStyle="1" w:styleId="jlqj4b">
    <w:name w:val="jlqj4b"/>
    <w:basedOn w:val="DefaultParagraphFont"/>
    <w:rsid w:val="00344B76"/>
    <w:rPr>
      <w:w w:val="100"/>
      <w:position w:val="-1"/>
      <w:effect w:val="none"/>
      <w:vertAlign w:val="baseline"/>
      <w:cs w:val="0"/>
      <w:em w:val="none"/>
    </w:rPr>
  </w:style>
  <w:style w:type="character" w:styleId="Strong">
    <w:name w:val="Strong"/>
    <w:uiPriority w:val="22"/>
    <w:qFormat/>
    <w:rsid w:val="00344B76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Emphasis">
    <w:name w:val="Emphasis"/>
    <w:rsid w:val="00344B76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rsid w:val="00344B7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344B76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553E4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53E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166/ws.2020.036" TargetMode="External"/><Relationship Id="rId3" Type="http://schemas.openxmlformats.org/officeDocument/2006/relationships/styles" Target="styles.xml"/><Relationship Id="rId7" Type="http://schemas.openxmlformats.org/officeDocument/2006/relationships/hyperlink" Target="http://dx.doi.org/10.2298/TSCI150325114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134/S0097807822060136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kC2yB63VDofgtsadp2JBfv5sww==">AMUW2mXLA/89empflNFCiNSmL9zJI/tn3F01eaadHonta6ETQ9cM4inWjN3iRpj3wYP5aLZU8zdQUYbjMgqDBQN4I0qU4HG9CU2S04GxiQJomEaZsMQaY94=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747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4</cp:revision>
  <dcterms:created xsi:type="dcterms:W3CDTF">2023-11-05T23:35:00Z</dcterms:created>
  <dcterms:modified xsi:type="dcterms:W3CDTF">2023-11-06T23:48:00Z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