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398"/>
        <w:gridCol w:w="1562"/>
        <w:gridCol w:w="1175"/>
        <w:gridCol w:w="2048"/>
        <w:gridCol w:w="1244"/>
        <w:tblGridChange w:id="0">
          <w:tblGrid>
            <w:gridCol w:w="3146"/>
            <w:gridCol w:w="398"/>
            <w:gridCol w:w="1562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програм: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8">
            <w:pPr>
              <w:rPr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Основе дигиталне географије (ГИС101)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highlight w:val="yellow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др Лазар В. Лазић</w:t>
              </w:r>
            </w:hyperlink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Имре Нађ</w:t>
              </w:r>
            </w:hyperlink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b w:val="1"/>
                  <w:color w:val="0000ff"/>
                  <w:u w:val="single"/>
                  <w:vertAlign w:val="baselin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1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</w:t>
            </w:r>
            <w:r w:rsidDel="00000000" w:rsidR="00000000" w:rsidRPr="00000000">
              <w:rPr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b w:val="0"/>
                <w:sz w:val="10"/>
                <w:szCs w:val="1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Стицање основних знања о значају и улогама географије и геоинформационих наука и технологија у савременом друштву базираном на информацијама.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Разумевање места и задатка геоинформационих наука и технологија у савременом друштву и основни увид у области даљег усавршавања и специјализације за студенте. Познавање основа дигиталне географије и геоинформатике. Упознавање са теоријским основама и стицање практичних знања у коришћењу базичних програмских пакета и софтверских алата за рад са геопросторним подацима.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Историјски развој географског мишљења. Настанак и развој најзначајнијих географских теорија. Детерминизам, посибилизам и савремене географске теорије. Географски информациони системи и наука о географским информацијама. Значај и улога геонаука и геоинформатике у друштву заснованом на информацијама - дигитална револуција, дигитална трансформација, аутоматизација и оптимизација коришћења просторних ресурса и географија. Појам и начини примене великих база података (Big data) интернета ствари (Internet of things - IoT), аутоматизације у географским истраживањима. Трендови, могућности и изазови развоја и примене геоинформационих наука и технологија.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i w:val="0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Упознавање са основним начинима претраживања, проналажења и дељења географских информација преко интернета. Упознавање основних функција одабраних релевантних програмских пакета и софтверских алата за рад са геопросторним подацима (ArcGIS, GoogleEarth Pro).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393"/>
              </w:tabs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393"/>
              </w:tabs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Milson, A.J., Alibrandi. M. 2008. Digital Geography. IAP</w:t>
            </w:r>
          </w:p>
          <w:p w:rsidR="00000000" w:rsidDel="00000000" w:rsidP="00000000" w:rsidRDefault="00000000" w:rsidRPr="00000000" w14:paraId="00000044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  <w:rtl w:val="0"/>
              </w:rPr>
              <w:t xml:space="preserve">Solari, O.M., Demirci, A., Schee, J. 2015. Geospatial Technologies and Geography Education in a Changing World: Geospatial Practices and Lessons Learned. Springer.</w:t>
            </w:r>
          </w:p>
          <w:p w:rsidR="00000000" w:rsidDel="00000000" w:rsidP="00000000" w:rsidRDefault="00000000" w:rsidRPr="00000000" w14:paraId="0000004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ArcGIS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393"/>
              </w:tabs>
              <w:ind w:left="626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 4(60)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Самостални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60" w:before="240" w:lineRule="auto"/>
    </w:pPr>
    <w:rPr>
      <w:rFonts w:ascii="Cambria" w:cs="Cambria" w:eastAsia="Cambria" w:hAnsi="Cambria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Lazar%20Lazic.doc" TargetMode="External"/><Relationship Id="rId7" Type="http://schemas.openxmlformats.org/officeDocument/2006/relationships/hyperlink" Target="http://../../Knjiga%20nastavnika/Imre%20Nadj.doc" TargetMode="External"/><Relationship Id="rId8" Type="http://schemas.openxmlformats.org/officeDocument/2006/relationships/hyperlink" Target="http://../../Knjiga%20nastavnika/Mladjen%20Jov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