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256"/>
        <w:gridCol w:w="1704"/>
        <w:gridCol w:w="1175"/>
        <w:gridCol w:w="2048"/>
        <w:gridCol w:w="1244"/>
        <w:tblGridChange w:id="0">
          <w:tblGrid>
            <w:gridCol w:w="3146"/>
            <w:gridCol w:w="256"/>
            <w:gridCol w:w="1704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Геоинформатика (ГИС301)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Минучер Месарош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Oвладавање теоријским основама и најважнијим проблемима геоинформатике. 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Студенти познају основне проблеме прикупљања, обраде, анализе и графичког приказа географских података за даљи самосталан рад. Препознају инхерентна ограничења и изворе грешака у процесу прикупљања и обраде података, у стању су да дефинишу оптималне начине анализе и закључују о поузданости добијених резултата. Препознају значај стандардизације  и самостално прате, усвајају и примењују нова достигнућа у области геоинформатике.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Појам геоинформатике. оптимизација прикупљања, чувања, преноса и представљања геопросторних информација. Податак и информација. Проблеми осматрања, мерења, узорковања, прикупљања и генерализације података о динамичним појавама у геосфери. Најчешће коришћени просторни референтни системи. Појам модела у геоинформатици. Напредне технике креирања и обраде векторских и растерских садржаја, избор модела и метода обраде података. Геостатитситчке методе и интерполација. Проблем интероперабилности, проблеми стандардизације, појам инфраструктуре просторних података и метаподатака. Методе аутоматизованог процесирања информација. Перспективе развоја геоинформатике у будућности.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Рад у програмском пакету ArcGIS и ArcGIS Pro, употреба геопросторних база података. Проналажење релевантних извора података, рад са метаподацима. Преузимање и унос података у ArcGIS. Мерење на терену помоћу РТК ГНСС опреме.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Burrough, P. &amp; McDonnell, R. 2006. Принципи географских информационих система, Грађевински факултет Универзитета у Београду (превод), Београд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Srbović, D., Gajović, V. 2015. ArcGIS for Desktop 10x- Korisničko uputstvo. GDi GISDATA, Beograd.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tabs>
                <w:tab w:val="left" w:leader="none" w:pos="393"/>
              </w:tabs>
              <w:ind w:left="626" w:hanging="360"/>
              <w:rPr/>
            </w:pPr>
            <w:r w:rsidDel="00000000" w:rsidR="00000000" w:rsidRPr="00000000">
              <w:rPr>
                <w:vertAlign w:val="baseline"/>
                <w:rtl w:val="0"/>
              </w:rPr>
              <w:t xml:space="preserve">Longley, P., Goodchild, М., Maguire, D.,  Rhind D., 2015.,  Geographical Information Systems and Science, Willey, USA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 5(75)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Метода усменог излагања, Илустративно-демонстративне методе (рад на рачунару), Практична настава.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0"/>
                <w:highlight w:val="yell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Minucer%20Mesaros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