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256"/>
        <w:gridCol w:w="1704"/>
        <w:gridCol w:w="1175"/>
        <w:gridCol w:w="2048"/>
        <w:gridCol w:w="1244"/>
        <w:tblGridChange w:id="0">
          <w:tblGrid>
            <w:gridCol w:w="3146"/>
            <w:gridCol w:w="256"/>
            <w:gridCol w:w="1704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8">
            <w:pPr>
              <w:rPr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Анализа великих податакa (ГИС408)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E">
            <w:pPr>
              <w:rPr>
                <w:b w:val="0"/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u w:val="single"/>
                  <w:vertAlign w:val="baseline"/>
                  <w:rtl w:val="0"/>
                </w:rPr>
                <w:t xml:space="preserve">др Данијела Боберић Крстићев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20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b w:val="0"/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Познавање проблема присутних у анализи великих података и начина њиховог решавања користећи одабрани функционални програмски језик и најновије доступне алате за обраду великих количина података, са посебним фокусом на базе геопросторних података.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Студент разуме основне концепте и проблеме у анализи великих података. Чита податке из постојећих извора података и интегрише у одговарајуће окружење, манипулише подацима користећи адекватне програмске језике. 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Студент дефинише алгоритме за анализу великих података у функционалном стилу, избегавајући „shuffles“ и прерачунавање у Spark-у. Разуме кључне проблеме и њихова решења као и њихову примену у практичном раду са великим базама података.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Овај курс се фокусира на дистрибуирано програмирање користећи одабране програмске језике. Детаљно се приказује модел програмирања на кластеру, као и разлике у односу на од познате моделе програмирања, као што су дељене меморије паралелне колекције или секвенцијалне колекције. Кроз практичне примере у одабраним окружењима, студенти уче када треба да се разматрају питања везана за дистрибуцију података и латенцију мрежне комуникације и како се у датом окружењу могу ефикасно решавати проблеми са добрим перформансама.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Практична настава се концентрише на коришћење уведених алатки за анализу великих података на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већем броју примера и студија у решавању класичних проблема у пракси.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Andy Konwinski, Holden Karau, Matei Zaharia, and Patrick Wendell, “Learning Spark: Lightning-Fast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Big Data Analysis”, O’Reilly, 2015.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Bill Venners, Lex Spoon, and Martin Odersky, “Programming in Scala: A Comprehensive Step-by-Step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Guide”, Artima, 2011.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Viktor Mayer-Schönberger, Kenneth Cukier, “Big Data: A Revolution That Will Transform How We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Live, Work, and Think”, Eamon Dolan/Mariner Books, 2013.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 4(60)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 предавањима се користе класичне методе наставе уз коришћење пројектора и лаптопа, као и конекције на рачунарски кластер. Вежбе се састоје од већег броја примера који потичу из практичне употребе и где се ставља нагласак на самостално решавање проблема уз употребу најновијих технологија и алата као и рачунарског кластера. Знање студената се испитује на два практична колоквијума, док се на усменом делу испита проверава разумевање теоријског дела градива.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i w:val="0"/>
                <w:highlight w:val="yell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i w:val="0"/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1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3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5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7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9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1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3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56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Danijela%20Boberic%20Krsticev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