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4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61"/>
        <w:gridCol w:w="1829"/>
        <w:gridCol w:w="856"/>
        <w:gridCol w:w="1490"/>
        <w:gridCol w:w="1611"/>
        <w:tblGridChange w:id="0">
          <w:tblGrid>
            <w:gridCol w:w="3961"/>
            <w:gridCol w:w="1829"/>
            <w:gridCol w:w="856"/>
            <w:gridCol w:w="1490"/>
            <w:gridCol w:w="1611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Студијски програм: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Назив предмета: Динамичка ге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vertAlign w:val="baseline"/>
                <w:rtl w:val="0"/>
              </w:rPr>
              <w:t xml:space="preserve">оморфологија (ГИС207)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0"/>
                <w:sz w:val="22"/>
                <w:szCs w:val="22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др Слободан Марковић,</w:t>
              </w:r>
            </w:hyperlink>
            <w:r w:rsidDel="00000000" w:rsidR="00000000" w:rsidRPr="00000000">
              <w:rPr>
                <w:b w:val="1"/>
                <w:color w:val="000000"/>
                <w:sz w:val="22"/>
                <w:szCs w:val="22"/>
                <w:vertAlign w:val="baseline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др Млађен Јовановић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Статус предмета: 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Стицање основних и примењених знања из динамичке – ерозивне геоморфологије.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Студенти који успешно савладају ово градиво, биће у стању да га повежу са претходно стеченим знањима, да примене новоусвојено знање на анализу геоморфолошких облика и процеса. Биће у стању да ово знање примене током савладавања геоинформатичких предмета. Познаваће и разликовати геоморфолошке агенсе, процесе и облике. Биће оспособљени да врше квалитативну и основе квантитативне геоморфолошке анализе различитих типова рељефа. Примењиваће геоморфолошку карту у анализама терена и бити у стању да израде базичне геоморфолошке карте терена.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i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vertAlign w:val="baseline"/>
                <w:rtl w:val="0"/>
              </w:rPr>
              <w:t xml:space="preserve">Теоријска настава: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Предмет, циљ, задаци. Историјски развој геоморфологије. Геоморфолошки агенси, процеси и облици: </w:t>
            </w:r>
            <w:r w:rsidDel="00000000" w:rsidR="00000000" w:rsidRPr="00000000">
              <w:rPr>
                <w:i w:val="1"/>
                <w:color w:val="000000"/>
                <w:sz w:val="22"/>
                <w:szCs w:val="22"/>
                <w:vertAlign w:val="baseline"/>
                <w:rtl w:val="0"/>
              </w:rPr>
              <w:t xml:space="preserve">-Елувијални процес -Падински процес и облици -Флувијални процес и облици -Крашки процес и облици -Глацијални процес и облици -Периглацијални процес и облици -Еолски процес и облици -Абразиони процес и облици</w:t>
            </w: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 Примена и израда геоморфолошке карте.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Генетска анализа облика рељефа, еволутивна анализа облика рељефа, геоморфолошко картирање, анализа геоморфолошке карте, израда геоморфолошке карте, примена геоморфолошке карте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Лазаревић, Р., Тошић, Р. 2013. Геоморфологија. ПМФ, Универзитет у Бањој Луци, Београд.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Марковић, М., Павловић, Р., Чупковић, Т. 2000. Геоморфологија. Завод за уџбенике, Београд.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Марковић, М., Павловић, Р., Чупковић, Т. 2016. XII Геоморфолошко картирање. Рукопис Сарајево.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Ritter, D.F., Kochel, R.C. 2006. Process Geomorphology. Waveland Press, Long Grove.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Huggett, R.J. 2007. Fundamentals of Geomorphology. Routledge.</w:t>
            </w:r>
          </w:p>
          <w:tbl>
            <w:tblPr>
              <w:tblStyle w:val="Table2"/>
              <w:tblW w:w="9406.0" w:type="dxa"/>
              <w:jc w:val="left"/>
              <w:tblLayout w:type="fixed"/>
              <w:tblLook w:val="0000"/>
            </w:tblPr>
            <w:tblGrid>
              <w:gridCol w:w="1683"/>
              <w:gridCol w:w="9"/>
              <w:gridCol w:w="3857"/>
              <w:gridCol w:w="3857"/>
              <w:tblGridChange w:id="0">
                <w:tblGrid>
                  <w:gridCol w:w="1683"/>
                  <w:gridCol w:w="9"/>
                  <w:gridCol w:w="3857"/>
                  <w:gridCol w:w="3857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gridSpan w:val="4"/>
                  <w:vAlign w:val="center"/>
                </w:tcPr>
                <w:p w:rsidR="00000000" w:rsidDel="00000000" w:rsidP="00000000" w:rsidRDefault="00000000" w:rsidRPr="00000000" w14:paraId="0000003C">
                  <w:pPr>
                    <w:rPr>
                      <w:sz w:val="24"/>
                      <w:szCs w:val="24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gridSpan w:val="2"/>
                  <w:vAlign w:val="top"/>
                </w:tcPr>
                <w:p w:rsidR="00000000" w:rsidDel="00000000" w:rsidP="00000000" w:rsidRDefault="00000000" w:rsidRPr="00000000" w14:paraId="00000040">
                  <w:pPr>
                    <w:rPr>
                      <w:sz w:val="24"/>
                      <w:szCs w:val="24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vAlign w:val="center"/>
                </w:tcPr>
                <w:p w:rsidR="00000000" w:rsidDel="00000000" w:rsidP="00000000" w:rsidRDefault="00000000" w:rsidRPr="00000000" w14:paraId="00000042">
                  <w:pPr>
                    <w:rPr>
                      <w:sz w:val="24"/>
                      <w:szCs w:val="24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gridSpan w:val="4"/>
                  <w:vAlign w:val="center"/>
                </w:tcPr>
                <w:p w:rsidR="00000000" w:rsidDel="00000000" w:rsidP="00000000" w:rsidRDefault="00000000" w:rsidRPr="00000000" w14:paraId="00000044">
                  <w:pPr>
                    <w:widowControl w:val="1"/>
                    <w:rPr>
                      <w:sz w:val="24"/>
                      <w:szCs w:val="24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48">
                  <w:pPr>
                    <w:widowControl w:val="1"/>
                    <w:rPr>
                      <w:sz w:val="24"/>
                      <w:szCs w:val="24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vAlign w:val="center"/>
                </w:tcPr>
                <w:p w:rsidR="00000000" w:rsidDel="00000000" w:rsidP="00000000" w:rsidRDefault="00000000" w:rsidRPr="00000000" w14:paraId="00000049">
                  <w:pPr>
                    <w:widowControl w:val="1"/>
                    <w:rPr>
                      <w:sz w:val="24"/>
                      <w:szCs w:val="24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4C">
                  <w:pPr>
                    <w:widowControl w:val="1"/>
                    <w:rPr>
                      <w:sz w:val="24"/>
                      <w:szCs w:val="24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vAlign w:val="center"/>
                </w:tcPr>
                <w:p w:rsidR="00000000" w:rsidDel="00000000" w:rsidP="00000000" w:rsidRDefault="00000000" w:rsidRPr="00000000" w14:paraId="0000004D">
                  <w:pPr>
                    <w:widowControl w:val="1"/>
                    <w:rPr>
                      <w:sz w:val="24"/>
                      <w:szCs w:val="24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Број часова  активне наставе 5 (75)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Монолошка, дијалошка и илустративно-демонстративна метода. Реализација часова предавања (теоријска обрада тематских јединица, мултимедијалне презентације), вежби (практични примери, домаћи задаци, семинарски радови) и теренског рада.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jc w:val="center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jc w:val="center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i w:val="1"/>
                <w:sz w:val="22"/>
                <w:szCs w:val="22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jc w:val="center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851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Slobodan%20Markovic.doc" TargetMode="External"/><Relationship Id="rId7" Type="http://schemas.openxmlformats.org/officeDocument/2006/relationships/hyperlink" Target="http://../../Knjiga%20nastavnika/Mladjen%20Jovanovic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