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OАС Геоинформатика / ОАС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Анализа географских временских серија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Тин Лукић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 /изборни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Оспособљавање студената за примену анализе временских серија у географији. Студенте упознаје са кључним концептима, техникама и алатима који се користе за анализу временских података, укључујући трендове, сезоналност, циклусе и неправилне флуктуације. Такође истражује како се анализа временских серија примњује на низ географских појава, укључујући климатске промене, урбанизацију и управљање природним ресурсима.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 крају курса студенти идентификују и упоређују принципе и концепте анализе временских серија. Примењују статистичке технике за анализу временских серија. Класификују обрасце и трендове у подацима географских временских серија. Користе софтверске алате за анализу и визуелизацију временских података; Интерпетирају резултате анализе временских серија на реалне проблеме.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1) </w:t>
            </w:r>
            <w:r w:rsidDel="00000000" w:rsidR="00000000" w:rsidRPr="00000000">
              <w:rPr>
                <w:rtl w:val="0"/>
              </w:rPr>
              <w:t xml:space="preserve">Уводна разматрања; 2) Дескриптивни методи анализе географских временских серија; 3) Модели стационарних географских временских серија; 4) Модели нестационарних географских временских серија; 5) Прогнозирање; 6) Спектрална анализа географских временских серија.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1) Прикупљање и анализа података о временским серијама: Студенти би могли да раде у групама како би прикупили и анализирали податке временске серије за одређени географски феномен, као што су промене температуре или падавина у одређеном региону. 2) Мапирање и визуелизација: Да би развили практичне вештине у  визуелизацији података, ученици би могли да имају задатак да креирају мапе и визуелизације података временских серија; 3) Анализа студије случаја: Током курса, студентима би се могло доделити неколико студија случаја које истичу различите аспекте анализе временских серија у географији.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1) Brownlee, J. (2018). 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Deep learning for time series forecasting: predict the future with MLPs, CNNs and LSTMs in Python</w:t>
            </w:r>
            <w:r w:rsidDel="00000000" w:rsidR="00000000" w:rsidRPr="00000000">
              <w:rPr>
                <w:color w:val="000000"/>
                <w:rtl w:val="0"/>
              </w:rPr>
              <w:t xml:space="preserve">. Machine Learning Mastery.</w:t>
            </w:r>
          </w:p>
          <w:p w:rsidR="00000000" w:rsidDel="00000000" w:rsidP="00000000" w:rsidRDefault="00000000" w:rsidRPr="00000000" w14:paraId="0000003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2)</w:t>
            </w:r>
            <w:r w:rsidDel="00000000" w:rsidR="00000000" w:rsidRPr="00000000">
              <w:rPr>
                <w:rFonts w:ascii="Arial" w:cs="Arial" w:eastAsia="Arial" w:hAnsi="Arial"/>
                <w:color w:val="222222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Nielsen, A. (2019). 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Practical time series analysis: Prediction with statistics and machine learning</w:t>
            </w:r>
            <w:r w:rsidDel="00000000" w:rsidR="00000000" w:rsidRPr="00000000">
              <w:rPr>
                <w:color w:val="000000"/>
                <w:rtl w:val="0"/>
              </w:rPr>
              <w:t xml:space="preserve">. O'Reilly Media.</w:t>
            </w:r>
          </w:p>
          <w:p w:rsidR="00000000" w:rsidDel="00000000" w:rsidP="00000000" w:rsidRDefault="00000000" w:rsidRPr="00000000" w14:paraId="0000003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) Kovačić, Z.V., 1995. Analiza vremenskih serija, Ekonomski fakultet, Univerzitet u Beogradu.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Настава ће бити реализована у виду предавања и семинарског рада. Предавања се изводе коришћењем компјутерских презентација на видео пројектору, пројекцијом филмова и слајдова. Вежбе се изводе практично у лабораторији.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15-25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15-20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20-40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Basarin%20Biljana.docx" TargetMode="External"/><Relationship Id="rId7" Type="http://schemas.openxmlformats.org/officeDocument/2006/relationships/hyperlink" Target="http://../Prilog%208.2.%20Knjiga%20nastavnika/Luki%C4%87%20Ti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