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rPr>
      </w:pPr>
      <w:r w:rsidDel="00000000" w:rsidR="00000000" w:rsidRPr="00000000">
        <w:rPr>
          <w:rtl w:val="0"/>
        </w:rPr>
      </w:r>
    </w:p>
    <w:tbl>
      <w:tblPr>
        <w:tblStyle w:val="Table1"/>
        <w:tblW w:w="9776.0" w:type="dxa"/>
        <w:jc w:val="center"/>
        <w:tblLayout w:type="fixed"/>
        <w:tblLook w:val="0000"/>
      </w:tblPr>
      <w:tblGrid>
        <w:gridCol w:w="3146"/>
        <w:gridCol w:w="1961"/>
        <w:gridCol w:w="1175"/>
        <w:gridCol w:w="2048"/>
        <w:gridCol w:w="1446"/>
        <w:tblGridChange w:id="0">
          <w:tblGrid>
            <w:gridCol w:w="3146"/>
            <w:gridCol w:w="1961"/>
            <w:gridCol w:w="1175"/>
            <w:gridCol w:w="2048"/>
            <w:gridCol w:w="1446"/>
          </w:tblGrid>
        </w:tblGridChange>
      </w:tblGrid>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2">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Студијски програм: OAС Географија</w:t>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7">
            <w:pPr>
              <w:widowControl w:val="0"/>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Назив предмета: </w:t>
            </w:r>
            <w:r w:rsidDel="00000000" w:rsidR="00000000" w:rsidRPr="00000000">
              <w:rPr>
                <w:rFonts w:ascii="Times New Roman" w:cs="Times New Roman" w:eastAsia="Times New Roman" w:hAnsi="Times New Roman"/>
                <w:sz w:val="20"/>
                <w:szCs w:val="20"/>
                <w:rtl w:val="0"/>
              </w:rPr>
              <w:t xml:space="preserve">Размештај и управљање рудним ресурсима</w:t>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widowControl w:val="0"/>
              <w:tabs>
                <w:tab w:val="left" w:leader="none" w:pos="567"/>
              </w:tabs>
              <w:spacing w:after="60" w:lineRule="auto"/>
              <w:rPr>
                <w:rFonts w:ascii="Times New Roman" w:cs="Times New Roman" w:eastAsia="Times New Roman" w:hAnsi="Times New Roman"/>
                <w:b w:val="1"/>
                <w:sz w:val="20"/>
                <w:szCs w:val="20"/>
              </w:rPr>
            </w:pPr>
            <w:bookmarkStart w:colFirst="0" w:colLast="0" w:name="_gjdgxs" w:id="0"/>
            <w:bookmarkEnd w:id="0"/>
            <w:r w:rsidDel="00000000" w:rsidR="00000000" w:rsidRPr="00000000">
              <w:rPr>
                <w:rFonts w:ascii="Times New Roman" w:cs="Times New Roman" w:eastAsia="Times New Roman" w:hAnsi="Times New Roman"/>
                <w:b w:val="1"/>
                <w:sz w:val="20"/>
                <w:szCs w:val="20"/>
                <w:rtl w:val="0"/>
              </w:rPr>
              <w:t xml:space="preserve">Наставник/наставници: </w:t>
            </w:r>
            <w:hyperlink r:id="rId6">
              <w:r w:rsidDel="00000000" w:rsidR="00000000" w:rsidRPr="00000000">
                <w:rPr>
                  <w:rFonts w:ascii="Times New Roman" w:cs="Times New Roman" w:eastAsia="Times New Roman" w:hAnsi="Times New Roman"/>
                  <w:color w:val="0000ff"/>
                  <w:sz w:val="20"/>
                  <w:szCs w:val="20"/>
                  <w:u w:val="single"/>
                  <w:rtl w:val="0"/>
                </w:rPr>
                <w:t xml:space="preserve">Ђурђа Миљковић</w:t>
              </w:r>
            </w:hyperlink>
            <w:r w:rsidDel="00000000" w:rsidR="00000000" w:rsidRPr="00000000">
              <w:rPr>
                <w:rtl w:val="0"/>
              </w:rPr>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widowControl w:val="0"/>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Статус предмета: </w:t>
            </w:r>
            <w:r w:rsidDel="00000000" w:rsidR="00000000" w:rsidRPr="00000000">
              <w:rPr>
                <w:rFonts w:ascii="Times New Roman" w:cs="Times New Roman" w:eastAsia="Times New Roman" w:hAnsi="Times New Roman"/>
                <w:sz w:val="20"/>
                <w:szCs w:val="20"/>
                <w:rtl w:val="0"/>
              </w:rPr>
              <w:t xml:space="preserve">Изборни</w:t>
            </w:r>
            <w:r w:rsidDel="00000000" w:rsidR="00000000" w:rsidRPr="00000000">
              <w:rPr>
                <w:rtl w:val="0"/>
              </w:rPr>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widowControl w:val="0"/>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Број ЕСПБ: </w:t>
            </w:r>
            <w:r w:rsidDel="00000000" w:rsidR="00000000" w:rsidRPr="00000000">
              <w:rPr>
                <w:rFonts w:ascii="Times New Roman" w:cs="Times New Roman" w:eastAsia="Times New Roman" w:hAnsi="Times New Roman"/>
                <w:sz w:val="20"/>
                <w:szCs w:val="20"/>
                <w:rtl w:val="0"/>
              </w:rPr>
              <w:t xml:space="preserve">5</w:t>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widowControl w:val="0"/>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Услов: </w:t>
            </w:r>
            <w:r w:rsidDel="00000000" w:rsidR="00000000" w:rsidRPr="00000000">
              <w:rPr>
                <w:rFonts w:ascii="Times New Roman" w:cs="Times New Roman" w:eastAsia="Times New Roman" w:hAnsi="Times New Roman"/>
                <w:sz w:val="20"/>
                <w:szCs w:val="20"/>
                <w:rtl w:val="0"/>
              </w:rPr>
              <w:t xml:space="preserve">Нема</w:t>
            </w:r>
            <w:r w:rsidDel="00000000" w:rsidR="00000000" w:rsidRPr="00000000">
              <w:rPr>
                <w:rtl w:val="0"/>
              </w:rPr>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Циљ предмета</w:t>
            </w:r>
          </w:p>
          <w:p w:rsidR="00000000" w:rsidDel="00000000" w:rsidP="00000000" w:rsidRDefault="00000000" w:rsidRPr="00000000" w14:paraId="00000021">
            <w:pPr>
              <w:widowControl w:val="0"/>
              <w:tabs>
                <w:tab w:val="left" w:leader="none" w:pos="567"/>
              </w:tabs>
              <w:spacing w:after="60" w:lineRule="auto"/>
              <w:jc w:val="both"/>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Упознавање студената са најзначајнијим рудним ресурсима, њиховом географском заступљеношћу, привредним значајем, могућностима експлоатације, као и са одговарајућим мерама за спречавање деградирања животне средине и враћање у еколошки прихватљиво стање раније нарушених (оштећених) подручја. Упознавање студената са одрживим развојем рудних ресурса које настоји да постигне равнотежу између економског развоја, заштите животне средине и одговорности друштвене заједнице.</w:t>
            </w:r>
            <w:r w:rsidDel="00000000" w:rsidR="00000000" w:rsidRPr="00000000">
              <w:rPr>
                <w:rtl w:val="0"/>
              </w:rPr>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Исход предмета </w:t>
            </w:r>
          </w:p>
          <w:p w:rsidR="00000000" w:rsidDel="00000000" w:rsidP="00000000" w:rsidRDefault="00000000" w:rsidRPr="00000000" w14:paraId="00000027">
            <w:pPr>
              <w:widowControl w:val="0"/>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Након завршетка курса студент је способан да класификује различите рудне ресурсе, процени њихов значај, као и да дефинише њихову географску заступљеност и начине коришћења. Након стеченог знања студент је способан да повеже и закључи како се могу одговорно експлоатисати рудни ресурси кроз најбоље примере пракси у управљању животном средином.</w:t>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Садржај предмета</w:t>
            </w:r>
          </w:p>
          <w:p w:rsidR="00000000" w:rsidDel="00000000" w:rsidP="00000000" w:rsidRDefault="00000000" w:rsidRPr="00000000" w14:paraId="0000002D">
            <w:pPr>
              <w:widowControl w:val="0"/>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Теоријска настава</w:t>
            </w:r>
          </w:p>
          <w:p w:rsidR="00000000" w:rsidDel="00000000" w:rsidP="00000000" w:rsidRDefault="00000000" w:rsidRPr="00000000" w14:paraId="0000002E">
            <w:pPr>
              <w:widowControl w:val="0"/>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Коришћење рудних ресурса у прошлости. Значај рудних ресурса. Опште карактеристике лежишта рудних ресурса. Генетска класификација лежишта рудних ресурса (ендогена, егзогена, метаморфогена). Подела рудних ресурса. Лежишта металичних минералних сировина. Лежишта неметаличних минералних сировина. Лежишта енергетских минералних сировина. Рудна лежишта у нашој земљи. Еколошки проблеми изазвани експлоатацијом рудних ресурса. Управљање рудним ресурсима и геолошким истраживањима у складу са концепцијом одрживог развоја. Рекултивација површинских и подземних копова. Примери добрих пракси у свету и код нас. </w:t>
            </w:r>
          </w:p>
          <w:p w:rsidR="00000000" w:rsidDel="00000000" w:rsidP="00000000" w:rsidRDefault="00000000" w:rsidRPr="00000000" w14:paraId="0000002F">
            <w:pPr>
              <w:widowControl w:val="0"/>
              <w:tabs>
                <w:tab w:val="left" w:leader="none" w:pos="567"/>
              </w:tabs>
              <w:spacing w:after="60" w:lineRule="auto"/>
              <w:rPr>
                <w:rFonts w:ascii="Times New Roman" w:cs="Times New Roman" w:eastAsia="Times New Roman" w:hAnsi="Times New Roman"/>
                <w:i w:val="1"/>
                <w:sz w:val="20"/>
                <w:szCs w:val="20"/>
              </w:rPr>
            </w:pPr>
            <w:bookmarkStart w:colFirst="0" w:colLast="0" w:name="_30j0zll" w:id="1"/>
            <w:bookmarkEnd w:id="1"/>
            <w:r w:rsidDel="00000000" w:rsidR="00000000" w:rsidRPr="00000000">
              <w:rPr>
                <w:rFonts w:ascii="Times New Roman" w:cs="Times New Roman" w:eastAsia="Times New Roman" w:hAnsi="Times New Roman"/>
                <w:i w:val="1"/>
                <w:sz w:val="20"/>
                <w:szCs w:val="20"/>
                <w:rtl w:val="0"/>
              </w:rPr>
              <w:t xml:space="preserve">Практична настава </w:t>
            </w:r>
          </w:p>
          <w:p w:rsidR="00000000" w:rsidDel="00000000" w:rsidP="00000000" w:rsidRDefault="00000000" w:rsidRPr="00000000" w14:paraId="00000030">
            <w:pPr>
              <w:widowControl w:val="0"/>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Обилазак неких од најзначајнјих копова у којима се врши експолатација рудних ресурса, планирање рекултивације постојећих копова.</w:t>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Литература </w:t>
            </w:r>
          </w:p>
          <w:p w:rsidR="00000000" w:rsidDel="00000000" w:rsidP="00000000" w:rsidRDefault="00000000" w:rsidRPr="00000000" w14:paraId="00000036">
            <w:pPr>
              <w:widowControl w:val="0"/>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Јанковић, С. (1967): Лежишта металичних минералних сировина, Рударско-геолошки факултет, Београд.</w:t>
            </w:r>
          </w:p>
          <w:p w:rsidR="00000000" w:rsidDel="00000000" w:rsidP="00000000" w:rsidRDefault="00000000" w:rsidRPr="00000000" w14:paraId="00000037">
            <w:pPr>
              <w:widowControl w:val="0"/>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Мудринић, Ч. (1997): Лежишта минералних сировина, Рударско-геолошки факултет, Београд.</w:t>
            </w:r>
          </w:p>
          <w:p w:rsidR="00000000" w:rsidDel="00000000" w:rsidP="00000000" w:rsidRDefault="00000000" w:rsidRPr="00000000" w14:paraId="00000038">
            <w:pPr>
              <w:widowControl w:val="0"/>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Harris, М. Ј. (2009): Економија животне средине и природних ресурса, Датастатус, Београд.</w:t>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widowControl w:val="0"/>
              <w:tabs>
                <w:tab w:val="left" w:leader="none" w:pos="567"/>
              </w:tabs>
              <w:spacing w:after="6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b w:val="1"/>
                <w:sz w:val="20"/>
                <w:szCs w:val="20"/>
                <w:rtl w:val="0"/>
              </w:rPr>
              <w:t xml:space="preserve">Број часова  активне наставе: </w:t>
            </w: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widowControl w:val="0"/>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Теоријска настава: </w:t>
            </w:r>
            <w:r w:rsidDel="00000000" w:rsidR="00000000" w:rsidRPr="00000000">
              <w:rPr>
                <w:rFonts w:ascii="Times New Roman" w:cs="Times New Roman" w:eastAsia="Times New Roman" w:hAnsi="Times New Roman"/>
                <w:sz w:val="20"/>
                <w:szCs w:val="20"/>
                <w:rtl w:val="0"/>
              </w:rPr>
              <w:t xml:space="preserve">2</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widowControl w:val="0"/>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Практична настава: </w:t>
            </w:r>
            <w:r w:rsidDel="00000000" w:rsidR="00000000" w:rsidRPr="00000000">
              <w:rPr>
                <w:rFonts w:ascii="Times New Roman" w:cs="Times New Roman" w:eastAsia="Times New Roman" w:hAnsi="Times New Roman"/>
                <w:sz w:val="20"/>
                <w:szCs w:val="20"/>
                <w:rtl w:val="0"/>
              </w:rPr>
              <w:t xml:space="preserve">1</w:t>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Методе извођења наставе</w:t>
            </w:r>
          </w:p>
          <w:p w:rsidR="00000000" w:rsidDel="00000000" w:rsidP="00000000" w:rsidRDefault="00000000" w:rsidRPr="00000000" w14:paraId="00000043">
            <w:pPr>
              <w:widowControl w:val="0"/>
              <w:tabs>
                <w:tab w:val="left" w:leader="none" w:pos="567"/>
              </w:tabs>
              <w:spacing w:after="60" w:lineRule="auto"/>
              <w:jc w:val="both"/>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Метода усменог излагања, метода разговора и илустративно-демонстративна метода. Реализација часова предавања (теоријска обрада тематских јединица, мултимедијалне презентације), вежби (практични примери, домаћи задаци, семинарски радови). </w:t>
            </w:r>
            <w:r w:rsidDel="00000000" w:rsidR="00000000" w:rsidRPr="00000000">
              <w:rPr>
                <w:rtl w:val="0"/>
              </w:rPr>
            </w:r>
          </w:p>
        </w:tc>
      </w:tr>
      <w:tr>
        <w:trPr>
          <w:cantSplit w:val="0"/>
          <w:trHeight w:val="2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Оцена  знања (максимални број поена 100)</w:t>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Предиспитне обавезе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widowControl w:val="0"/>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поена</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widowControl w:val="0"/>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Завршни испит</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widowControl w:val="0"/>
              <w:tabs>
                <w:tab w:val="left" w:leader="none" w:pos="567"/>
              </w:tabs>
              <w:spacing w:after="6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поена</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widowControl w:val="0"/>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активност у току предавања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widowControl w:val="0"/>
              <w:tabs>
                <w:tab w:val="left" w:leader="none" w:pos="567"/>
              </w:tabs>
              <w:spacing w:after="60" w:lineRule="auto"/>
              <w:jc w:val="center"/>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5</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widowControl w:val="0"/>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писмени испит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widowControl w:val="0"/>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widowControl w:val="0"/>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активности у току вежби / практична настава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widowControl w:val="0"/>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widowControl w:val="0"/>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усмени испит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widowControl w:val="0"/>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30-45</w:t>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widowControl w:val="0"/>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колоквијум-и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widowControl w:val="0"/>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40</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widowControl w:val="0"/>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widowControl w:val="0"/>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widowControl w:val="0"/>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семинар-и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widowControl w:val="0"/>
              <w:tabs>
                <w:tab w:val="left" w:leader="none" w:pos="567"/>
              </w:tabs>
              <w:spacing w:after="6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widowControl w:val="0"/>
              <w:tabs>
                <w:tab w:val="left" w:leader="none" w:pos="567"/>
              </w:tabs>
              <w:spacing w:after="60" w:lineRule="auto"/>
              <w:rPr>
                <w:rFonts w:ascii="Times New Roman" w:cs="Times New Roman" w:eastAsia="Times New Roman" w:hAnsi="Times New Roman"/>
                <w:i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widowControl w:val="0"/>
              <w:tabs>
                <w:tab w:val="left" w:leader="none" w:pos="567"/>
              </w:tabs>
              <w:spacing w:after="60" w:lineRule="auto"/>
              <w:jc w:val="center"/>
              <w:rPr>
                <w:rFonts w:ascii="Times New Roman" w:cs="Times New Roman" w:eastAsia="Times New Roman" w:hAnsi="Times New Roman"/>
                <w:i w:val="1"/>
                <w:sz w:val="20"/>
                <w:szCs w:val="20"/>
              </w:rPr>
            </w:pPr>
            <w:r w:rsidDel="00000000" w:rsidR="00000000" w:rsidRPr="00000000">
              <w:rPr>
                <w:rtl w:val="0"/>
              </w:rPr>
            </w:r>
          </w:p>
        </w:tc>
      </w:tr>
    </w:tbl>
    <w:p w:rsidR="00000000" w:rsidDel="00000000" w:rsidP="00000000" w:rsidRDefault="00000000" w:rsidRPr="00000000" w14:paraId="00000066">
      <w:pPr>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Latn-R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Prilog%208.2.%20Knjiga%20nastavnika/Miljkovi%C4%87%20%C4%90ur%C4%91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