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1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45"/>
        <w:gridCol w:w="815"/>
        <w:gridCol w:w="1630"/>
        <w:gridCol w:w="1630"/>
        <w:gridCol w:w="815"/>
        <w:gridCol w:w="2446"/>
        <w:tblGridChange w:id="0">
          <w:tblGrid>
            <w:gridCol w:w="2445"/>
            <w:gridCol w:w="815"/>
            <w:gridCol w:w="1630"/>
            <w:gridCol w:w="1630"/>
            <w:gridCol w:w="815"/>
            <w:gridCol w:w="2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ОАС Географија  (модул Геопросторни аналитичар)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Стручна пракса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rPr>
                <w:b w:val="1"/>
                <w:color w:val="ff000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b w:val="1"/>
                  <w:color w:val="0000ff"/>
                  <w:u w:val="single"/>
                  <w:rtl w:val="0"/>
                </w:rPr>
                <w:t xml:space="preserve">др Тин Лукић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</w:t>
            </w:r>
            <w:r w:rsidDel="00000000" w:rsidR="00000000" w:rsidRPr="00000000">
              <w:rPr>
                <w:rtl w:val="0"/>
              </w:rPr>
              <w:t xml:space="preserve">: 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Стицање практичних знања и вештина и њихова примена у реалном пословном окружењу.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Студент познаје најважније, основне аспекте примене поступака уноса, обраде, анализе и визуелизације геопросторних података у радним активностима институција, организација и привредних субјеката у којима се реализује стручна пракса. Студент знања користи за даље самостално усавршавање и припрему за ангажовање на сличним пословима након завршетка студија.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упознавање са делокругом рада организације у којој се изводи пракса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упознавање са могућности примене стечених знања у организацији у којој се изводи пракса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анализа постојећих геопросторних података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обрада, сортирање и класификација података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примена поступака ручне векторизације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визуелизација геопросторних података, израда тематских карата, извештаја, радних налога и елабората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</w:t>
            </w:r>
          </w:p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 Burrough, P. &amp;amp; McDonnell, R. 2006. Принципи географских информационих система, Грађевински</w:t>
            </w:r>
          </w:p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факултет Универзитета у Београду (превод), Београд</w:t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 Srbović, D., Gajović, V. 2015. ArcGIS for Desktop 10x- Korisničko uputstvo. GDi GISDATA, Beograd.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наставе: -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-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Метода приказивања и презентације</w:t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Методе самосталног рада уз консултације са супервизором</w:t>
            </w:r>
          </w:p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Самостални и групни теренски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Присутност на припреми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Оцена са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Присутност на пракси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Семинар-и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Luki%C4%87%20Ti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