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E9D58" w14:textId="77777777" w:rsidR="00E526C5" w:rsidRDefault="00E526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00"/>
        <w:gridCol w:w="1888"/>
        <w:gridCol w:w="405"/>
        <w:gridCol w:w="2848"/>
        <w:gridCol w:w="1535"/>
      </w:tblGrid>
      <w:tr w:rsidR="00E526C5" w14:paraId="6E1DF631" w14:textId="77777777">
        <w:tc>
          <w:tcPr>
            <w:tcW w:w="9576" w:type="dxa"/>
            <w:gridSpan w:val="5"/>
          </w:tcPr>
          <w:p w14:paraId="40072B89" w14:textId="77777777" w:rsidR="00E526C5" w:rsidRDefault="00000000">
            <w:pPr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Студијски програм: МАС туризам</w:t>
            </w:r>
          </w:p>
        </w:tc>
      </w:tr>
      <w:tr w:rsidR="00E526C5" w14:paraId="11FEB4A2" w14:textId="77777777">
        <w:tc>
          <w:tcPr>
            <w:tcW w:w="9576" w:type="dxa"/>
            <w:gridSpan w:val="5"/>
          </w:tcPr>
          <w:p w14:paraId="0E7AA453" w14:textId="77777777" w:rsidR="00E526C5" w:rsidRDefault="00000000">
            <w:pPr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Ниво</w:t>
            </w:r>
            <w:r>
              <w:rPr>
                <w:sz w:val="20"/>
                <w:szCs w:val="20"/>
              </w:rPr>
              <w:t xml:space="preserve">: Мастер </w:t>
            </w:r>
          </w:p>
        </w:tc>
      </w:tr>
      <w:tr w:rsidR="00E526C5" w14:paraId="6F830BA8" w14:textId="77777777">
        <w:tc>
          <w:tcPr>
            <w:tcW w:w="9576" w:type="dxa"/>
            <w:gridSpan w:val="5"/>
          </w:tcPr>
          <w:p w14:paraId="73647255" w14:textId="77777777" w:rsidR="00E526C5" w:rsidRDefault="00000000">
            <w:pPr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Назив предмета:</w:t>
            </w:r>
            <w:r>
              <w:rPr>
                <w:sz w:val="20"/>
                <w:szCs w:val="20"/>
              </w:rPr>
              <w:t xml:space="preserve"> Квантитативне и квалитативне методе истраживања у туризму</w:t>
            </w:r>
          </w:p>
        </w:tc>
      </w:tr>
      <w:tr w:rsidR="00E526C5" w14:paraId="20AB3954" w14:textId="77777777">
        <w:tc>
          <w:tcPr>
            <w:tcW w:w="9576" w:type="dxa"/>
            <w:gridSpan w:val="5"/>
          </w:tcPr>
          <w:p w14:paraId="116311B6" w14:textId="68F50266" w:rsidR="00E526C5" w:rsidRDefault="00000000">
            <w:pPr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Наставник</w:t>
            </w:r>
            <w:hyperlink r:id="rId5" w:history="1">
              <w:r w:rsidRPr="0036213E">
                <w:rPr>
                  <w:rStyle w:val="Hyperlink"/>
                  <w:b/>
                  <w:sz w:val="20"/>
                  <w:szCs w:val="20"/>
                </w:rPr>
                <w:t>:</w:t>
              </w:r>
              <w:r w:rsidRPr="0036213E">
                <w:rPr>
                  <w:rStyle w:val="Hyperlink"/>
                  <w:sz w:val="20"/>
                  <w:szCs w:val="20"/>
                </w:rPr>
                <w:t xml:space="preserve"> Ивана Блешић</w:t>
              </w:r>
            </w:hyperlink>
            <w:r>
              <w:rPr>
                <w:sz w:val="20"/>
                <w:szCs w:val="20"/>
              </w:rPr>
              <w:t xml:space="preserve">,  </w:t>
            </w:r>
            <w:hyperlink r:id="rId6" w:history="1">
              <w:r w:rsidRPr="008E14B5">
                <w:rPr>
                  <w:rStyle w:val="Hyperlink"/>
                  <w:sz w:val="20"/>
                  <w:szCs w:val="20"/>
                </w:rPr>
                <w:t>Сања Ковачић</w:t>
              </w:r>
            </w:hyperlink>
          </w:p>
        </w:tc>
      </w:tr>
      <w:tr w:rsidR="00E526C5" w14:paraId="4BDF7AE2" w14:textId="77777777">
        <w:tc>
          <w:tcPr>
            <w:tcW w:w="9576" w:type="dxa"/>
            <w:gridSpan w:val="5"/>
          </w:tcPr>
          <w:p w14:paraId="63C3068F" w14:textId="77777777" w:rsidR="00E526C5" w:rsidRDefault="00000000">
            <w:pPr>
              <w:tabs>
                <w:tab w:val="left" w:pos="900"/>
              </w:tabs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Статус предмета</w:t>
            </w:r>
            <w:r>
              <w:rPr>
                <w:sz w:val="20"/>
                <w:szCs w:val="20"/>
              </w:rPr>
              <w:t>: обавезни</w:t>
            </w:r>
          </w:p>
        </w:tc>
      </w:tr>
      <w:tr w:rsidR="00E526C5" w14:paraId="00A84B0B" w14:textId="77777777">
        <w:tc>
          <w:tcPr>
            <w:tcW w:w="9576" w:type="dxa"/>
            <w:gridSpan w:val="5"/>
          </w:tcPr>
          <w:p w14:paraId="577A0F42" w14:textId="77777777" w:rsidR="00E526C5" w:rsidRDefault="00000000">
            <w:pPr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ECTS</w:t>
            </w:r>
            <w:r>
              <w:rPr>
                <w:sz w:val="20"/>
                <w:szCs w:val="20"/>
              </w:rPr>
              <w:t>: 6</w:t>
            </w:r>
          </w:p>
        </w:tc>
      </w:tr>
      <w:tr w:rsidR="00E526C5" w14:paraId="4B20F3B4" w14:textId="77777777">
        <w:tc>
          <w:tcPr>
            <w:tcW w:w="9576" w:type="dxa"/>
            <w:gridSpan w:val="5"/>
          </w:tcPr>
          <w:p w14:paraId="5353A655" w14:textId="77777777" w:rsidR="00E526C5" w:rsidRDefault="00000000">
            <w:pPr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Услов</w:t>
            </w:r>
            <w:r>
              <w:rPr>
                <w:sz w:val="20"/>
                <w:szCs w:val="20"/>
              </w:rPr>
              <w:t>: нема</w:t>
            </w:r>
          </w:p>
        </w:tc>
      </w:tr>
      <w:tr w:rsidR="00E526C5" w14:paraId="01867FB1" w14:textId="77777777">
        <w:tc>
          <w:tcPr>
            <w:tcW w:w="9576" w:type="dxa"/>
            <w:gridSpan w:val="5"/>
          </w:tcPr>
          <w:p w14:paraId="4A322A1D" w14:textId="77777777" w:rsidR="00E526C5" w:rsidRDefault="00000000">
            <w:pP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Циљ предмета:</w:t>
            </w:r>
            <w:r>
              <w:rPr>
                <w:sz w:val="20"/>
                <w:szCs w:val="20"/>
              </w:rPr>
              <w:t xml:space="preserve"> Стицање знања и вештина о методама и техникама научног истраживања и њиховој примени у туризму. Предмет пружа основна знања из квантитативних и квалитативних метода које имају примену у овој области. </w:t>
            </w:r>
          </w:p>
        </w:tc>
      </w:tr>
      <w:tr w:rsidR="00E526C5" w14:paraId="0B7941BE" w14:textId="77777777">
        <w:tc>
          <w:tcPr>
            <w:tcW w:w="9576" w:type="dxa"/>
            <w:gridSpan w:val="5"/>
          </w:tcPr>
          <w:p w14:paraId="1FDD6505" w14:textId="77777777" w:rsidR="00E526C5" w:rsidRDefault="00000000">
            <w:pP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Исход предмета:</w:t>
            </w:r>
            <w:r>
              <w:rPr>
                <w:sz w:val="20"/>
                <w:szCs w:val="20"/>
              </w:rPr>
              <w:t xml:space="preserve"> Након окончања курса студенти ће бити способни да: покажу систематично разумевање методологије научног истраживања и овладају квантитативним и квалитативним методама и техникама истраживања; покажу способност критичке анализе, процене и синтезе нових и сложених идеја; ефикасно користе и процењују информационе ресурсе и примењују одговарајуће методе у решавању специфичних истраживачких задатака и проблема; самостално спроведу истраживање, примене одговарајуће методе прикупљања и обраде података, напишу и презентују научни рад. </w:t>
            </w:r>
          </w:p>
        </w:tc>
      </w:tr>
      <w:tr w:rsidR="00E526C5" w14:paraId="71A1764E" w14:textId="77777777">
        <w:tc>
          <w:tcPr>
            <w:tcW w:w="9576" w:type="dxa"/>
            <w:gridSpan w:val="5"/>
          </w:tcPr>
          <w:p w14:paraId="45DBDB98" w14:textId="77777777" w:rsidR="00E526C5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Садржај предмета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1E8435F1" w14:textId="77777777" w:rsidR="00E526C5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Теоријска настава</w:t>
            </w:r>
          </w:p>
          <w:p w14:paraId="511626EE" w14:textId="77777777" w:rsidR="00E526C5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Истраживачки приступи, стратегије и планирање. Описивање проблема истраживања. Формулисање хипотеза. Прегед литературе (претраживање публикација) и процес израде теоријског дијела. Састављање анкетног упитника и постављање истраживања. Мерење варијабли и њихова операционализација. Методологија истраживања: квантитативна, квалитативна и мешовита (избор истраживачких метода, одређивање популације и узорка, прикупљање података, обрада података, анализирање података, тестирање хипотеза, провођење дискусије и представљање закључака). Методе које ће се обрађивати: Обрада анкетног упитника у статистичком софтверу SPSS, делфи метод, фокус групе, интервју, евалуација утицаја туризма и др.</w:t>
            </w:r>
          </w:p>
          <w:p w14:paraId="59E06422" w14:textId="77777777" w:rsidR="00E526C5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Практична настава: </w:t>
            </w:r>
          </w:p>
          <w:p w14:paraId="106E46DE" w14:textId="77777777" w:rsidR="00E526C5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Обрада података у софтверу SPSS (IPA анализа, GAP анализа, факторска анализа, вишеструка регресија итд.) </w:t>
            </w:r>
          </w:p>
        </w:tc>
      </w:tr>
      <w:tr w:rsidR="00E526C5" w14:paraId="5CF3D178" w14:textId="77777777">
        <w:trPr>
          <w:trHeight w:val="1629"/>
        </w:trPr>
        <w:tc>
          <w:tcPr>
            <w:tcW w:w="9576" w:type="dxa"/>
            <w:gridSpan w:val="5"/>
          </w:tcPr>
          <w:p w14:paraId="5A448F5C" w14:textId="77777777" w:rsidR="00E526C5" w:rsidRDefault="00000000">
            <w:pPr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Литература:</w:t>
            </w:r>
          </w:p>
          <w:p w14:paraId="133CB489" w14:textId="77777777" w:rsidR="00E526C5" w:rsidRDefault="00000000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Veal, A. J. (2017). </w:t>
            </w:r>
            <w:r>
              <w:rPr>
                <w:i/>
                <w:sz w:val="20"/>
                <w:szCs w:val="20"/>
              </w:rPr>
              <w:t>Research methods for leisure and tourism</w:t>
            </w:r>
            <w:r>
              <w:rPr>
                <w:sz w:val="20"/>
                <w:szCs w:val="20"/>
              </w:rPr>
              <w:t>. Pearson UK.</w:t>
            </w:r>
          </w:p>
          <w:p w14:paraId="1AE6A5C4" w14:textId="77777777" w:rsidR="00E526C5" w:rsidRDefault="00000000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Sirakaya-Turk, E. (Ed.). (2011). </w:t>
            </w:r>
            <w:r>
              <w:rPr>
                <w:i/>
                <w:sz w:val="20"/>
                <w:szCs w:val="20"/>
              </w:rPr>
              <w:t>Research methods for leisure, recreation and tourism</w:t>
            </w:r>
            <w:r>
              <w:rPr>
                <w:sz w:val="20"/>
                <w:szCs w:val="20"/>
              </w:rPr>
              <w:t>. CABI.</w:t>
            </w:r>
          </w:p>
          <w:p w14:paraId="1D721A4F" w14:textId="77777777" w:rsidR="00E526C5" w:rsidRDefault="00000000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Фајгељ Станислав (2012). Методе истраживања понашања. Центар за примењену психологију, Београд.</w:t>
            </w:r>
          </w:p>
          <w:p w14:paraId="3D6814D4" w14:textId="77777777" w:rsidR="00E526C5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222222"/>
                <w:sz w:val="20"/>
                <w:szCs w:val="20"/>
                <w:highlight w:val="white"/>
              </w:rPr>
            </w:pPr>
            <w:r>
              <w:rPr>
                <w:color w:val="222222"/>
                <w:sz w:val="20"/>
                <w:szCs w:val="20"/>
                <w:highlight w:val="white"/>
              </w:rPr>
              <w:t>Vujičić, M. D., Stankov, U., Pavluković, V., Štajner-Papuga, I., Kovačić, S., Čikić, J., ... &amp; Zelenović Vasiljević, T. (2023). Prepare for Impact! A Methodological Approach for Comprehensive Impact Evaluation of European Capital of Culture: The Case of Novi Sad 2022</w:t>
            </w:r>
            <w:r>
              <w:rPr>
                <w:i/>
                <w:color w:val="222222"/>
                <w:sz w:val="20"/>
                <w:szCs w:val="20"/>
                <w:highlight w:val="white"/>
              </w:rPr>
              <w:t>. Social Indicators Research</w:t>
            </w:r>
            <w:r>
              <w:rPr>
                <w:color w:val="222222"/>
                <w:sz w:val="20"/>
                <w:szCs w:val="20"/>
                <w:highlight w:val="white"/>
              </w:rPr>
              <w:t>, 165(2), 715-736.</w:t>
            </w:r>
          </w:p>
        </w:tc>
      </w:tr>
      <w:tr w:rsidR="00E526C5" w14:paraId="78626330" w14:textId="77777777">
        <w:tc>
          <w:tcPr>
            <w:tcW w:w="9576" w:type="dxa"/>
            <w:gridSpan w:val="5"/>
          </w:tcPr>
          <w:p w14:paraId="10B7DB3D" w14:textId="77777777" w:rsidR="00E526C5" w:rsidRDefault="00000000">
            <w:pPr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Број часова наставе: 8                                                                            </w:t>
            </w:r>
          </w:p>
        </w:tc>
      </w:tr>
      <w:tr w:rsidR="00E526C5" w14:paraId="34EB2B88" w14:textId="77777777">
        <w:tc>
          <w:tcPr>
            <w:tcW w:w="4788" w:type="dxa"/>
            <w:gridSpan w:val="2"/>
          </w:tcPr>
          <w:p w14:paraId="718412D5" w14:textId="77777777" w:rsidR="00E526C5" w:rsidRDefault="00000000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Теоријска настава: 3</w:t>
            </w:r>
          </w:p>
        </w:tc>
        <w:tc>
          <w:tcPr>
            <w:tcW w:w="4788" w:type="dxa"/>
            <w:gridSpan w:val="3"/>
          </w:tcPr>
          <w:p w14:paraId="72D372E2" w14:textId="77777777" w:rsidR="00E526C5" w:rsidRDefault="00000000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Практична настава: 3+1+1</w:t>
            </w:r>
          </w:p>
        </w:tc>
      </w:tr>
      <w:tr w:rsidR="00E526C5" w14:paraId="2587F1F9" w14:textId="77777777">
        <w:tc>
          <w:tcPr>
            <w:tcW w:w="9576" w:type="dxa"/>
            <w:gridSpan w:val="5"/>
          </w:tcPr>
          <w:p w14:paraId="3CF1DBBF" w14:textId="77777777" w:rsidR="00E526C5" w:rsidRDefault="00000000">
            <w:pPr>
              <w:ind w:left="0" w:hanging="2"/>
              <w:jc w:val="both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color w:val="000000"/>
                <w:sz w:val="20"/>
                <w:szCs w:val="20"/>
              </w:rPr>
              <w:t xml:space="preserve">Методе извођења наставе: </w:t>
            </w:r>
            <w:r>
              <w:rPr>
                <w:sz w:val="20"/>
                <w:szCs w:val="20"/>
              </w:rPr>
              <w:t>Настава се изводи кроз предавања и вежбе. Предавања укључују и дискусије које омогућавају интерактивност. Кроз обраду података у софтверу SPSS студенти уче да критички размишљају, и презентују одређене научно-истраживачке методе кроз анализу специфичних истраживачких проблема. У току наставног процеса презентоваће се примена научно-истраживачких метода у водећим научним часописима.</w:t>
            </w:r>
          </w:p>
        </w:tc>
      </w:tr>
      <w:tr w:rsidR="00E526C5" w14:paraId="114AFAE4" w14:textId="77777777">
        <w:tc>
          <w:tcPr>
            <w:tcW w:w="9576" w:type="dxa"/>
            <w:gridSpan w:val="5"/>
          </w:tcPr>
          <w:p w14:paraId="6B5AB126" w14:textId="77777777" w:rsidR="00E526C5" w:rsidRDefault="00000000">
            <w:pP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Оцена знања  (максималан број поена 100)</w:t>
            </w:r>
          </w:p>
        </w:tc>
      </w:tr>
      <w:tr w:rsidR="00E526C5" w14:paraId="3A732201" w14:textId="77777777">
        <w:tc>
          <w:tcPr>
            <w:tcW w:w="2900" w:type="dxa"/>
          </w:tcPr>
          <w:p w14:paraId="0487A884" w14:textId="77777777" w:rsidR="00E526C5" w:rsidRDefault="00000000">
            <w:pPr>
              <w:ind w:left="0" w:hanging="2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2293" w:type="dxa"/>
            <w:gridSpan w:val="2"/>
          </w:tcPr>
          <w:p w14:paraId="63587F75" w14:textId="77777777" w:rsidR="00E526C5" w:rsidRDefault="00000000">
            <w:pPr>
              <w:ind w:left="0" w:hanging="2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поена</w:t>
            </w:r>
          </w:p>
        </w:tc>
        <w:tc>
          <w:tcPr>
            <w:tcW w:w="2848" w:type="dxa"/>
          </w:tcPr>
          <w:p w14:paraId="551E8B7C" w14:textId="77777777" w:rsidR="00E526C5" w:rsidRDefault="00000000">
            <w:pPr>
              <w:ind w:left="0" w:hanging="2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535" w:type="dxa"/>
          </w:tcPr>
          <w:p w14:paraId="0FDA080A" w14:textId="77777777" w:rsidR="00E526C5" w:rsidRDefault="00000000">
            <w:pPr>
              <w:ind w:left="0" w:hanging="2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поена</w:t>
            </w:r>
          </w:p>
        </w:tc>
      </w:tr>
      <w:tr w:rsidR="00E526C5" w14:paraId="7DE31335" w14:textId="77777777">
        <w:trPr>
          <w:trHeight w:val="100"/>
        </w:trPr>
        <w:tc>
          <w:tcPr>
            <w:tcW w:w="2900" w:type="dxa"/>
          </w:tcPr>
          <w:p w14:paraId="6DEC46F1" w14:textId="77777777" w:rsidR="00E526C5" w:rsidRDefault="00000000">
            <w:pPr>
              <w:ind w:left="0" w:hanging="2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Активности на настави</w:t>
            </w:r>
          </w:p>
        </w:tc>
        <w:tc>
          <w:tcPr>
            <w:tcW w:w="2293" w:type="dxa"/>
            <w:gridSpan w:val="2"/>
          </w:tcPr>
          <w:p w14:paraId="1C6A8FCD" w14:textId="77777777" w:rsidR="00E526C5" w:rsidRDefault="00000000">
            <w:pPr>
              <w:ind w:left="0" w:hanging="2"/>
              <w:jc w:val="center"/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5</w:t>
            </w:r>
          </w:p>
        </w:tc>
        <w:tc>
          <w:tcPr>
            <w:tcW w:w="2848" w:type="dxa"/>
          </w:tcPr>
          <w:p w14:paraId="3F1B75E0" w14:textId="77777777" w:rsidR="00E526C5" w:rsidRDefault="00000000">
            <w:pPr>
              <w:ind w:left="0" w:hanging="2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Писмени испит</w:t>
            </w:r>
          </w:p>
        </w:tc>
        <w:tc>
          <w:tcPr>
            <w:tcW w:w="1535" w:type="dxa"/>
          </w:tcPr>
          <w:p w14:paraId="1B85FA61" w14:textId="77777777" w:rsidR="00E526C5" w:rsidRDefault="00000000">
            <w:pPr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 /</w:t>
            </w:r>
          </w:p>
        </w:tc>
      </w:tr>
      <w:tr w:rsidR="00E526C5" w14:paraId="1D514738" w14:textId="77777777">
        <w:tc>
          <w:tcPr>
            <w:tcW w:w="2900" w:type="dxa"/>
          </w:tcPr>
          <w:p w14:paraId="0B64CC65" w14:textId="77777777" w:rsidR="00E526C5" w:rsidRDefault="00000000">
            <w:pPr>
              <w:ind w:left="0" w:hanging="2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Практична настава</w:t>
            </w:r>
          </w:p>
        </w:tc>
        <w:tc>
          <w:tcPr>
            <w:tcW w:w="2293" w:type="dxa"/>
            <w:gridSpan w:val="2"/>
          </w:tcPr>
          <w:p w14:paraId="35020726" w14:textId="77777777" w:rsidR="00E526C5" w:rsidRDefault="00000000">
            <w:pPr>
              <w:ind w:left="0" w:hanging="2"/>
              <w:jc w:val="center"/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5</w:t>
            </w:r>
          </w:p>
        </w:tc>
        <w:tc>
          <w:tcPr>
            <w:tcW w:w="2848" w:type="dxa"/>
          </w:tcPr>
          <w:p w14:paraId="29D90915" w14:textId="77777777" w:rsidR="00E526C5" w:rsidRDefault="00000000">
            <w:pPr>
              <w:ind w:left="0" w:hanging="2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Усмени испит</w:t>
            </w:r>
          </w:p>
        </w:tc>
        <w:tc>
          <w:tcPr>
            <w:tcW w:w="1535" w:type="dxa"/>
          </w:tcPr>
          <w:p w14:paraId="063E4106" w14:textId="77777777" w:rsidR="00E526C5" w:rsidRDefault="00000000">
            <w:pPr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E526C5" w14:paraId="7426B0DB" w14:textId="77777777">
        <w:tc>
          <w:tcPr>
            <w:tcW w:w="2900" w:type="dxa"/>
          </w:tcPr>
          <w:p w14:paraId="5225E01F" w14:textId="77777777" w:rsidR="00E526C5" w:rsidRDefault="00000000">
            <w:pPr>
              <w:ind w:left="0" w:hanging="2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Колоквијуми</w:t>
            </w:r>
          </w:p>
        </w:tc>
        <w:tc>
          <w:tcPr>
            <w:tcW w:w="2293" w:type="dxa"/>
            <w:gridSpan w:val="2"/>
          </w:tcPr>
          <w:p w14:paraId="1213E89F" w14:textId="77777777" w:rsidR="00E526C5" w:rsidRDefault="00000000">
            <w:pPr>
              <w:ind w:left="0" w:hanging="2"/>
              <w:jc w:val="center"/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40</w:t>
            </w:r>
          </w:p>
        </w:tc>
        <w:tc>
          <w:tcPr>
            <w:tcW w:w="2848" w:type="dxa"/>
          </w:tcPr>
          <w:p w14:paraId="20CFC9B2" w14:textId="77777777" w:rsidR="00E526C5" w:rsidRDefault="00E526C5">
            <w:pPr>
              <w:ind w:left="0" w:hanging="2"/>
              <w:rPr>
                <w:rFonts w:ascii="Times" w:eastAsia="Times" w:hAnsi="Times" w:cs="Times"/>
                <w:sz w:val="20"/>
                <w:szCs w:val="20"/>
              </w:rPr>
            </w:pPr>
          </w:p>
        </w:tc>
        <w:tc>
          <w:tcPr>
            <w:tcW w:w="1535" w:type="dxa"/>
          </w:tcPr>
          <w:p w14:paraId="5E797267" w14:textId="77777777" w:rsidR="00E526C5" w:rsidRDefault="00000000">
            <w:pPr>
              <w:ind w:left="0" w:hanging="2"/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 </w:t>
            </w:r>
          </w:p>
        </w:tc>
      </w:tr>
      <w:tr w:rsidR="00E526C5" w14:paraId="6380A481" w14:textId="77777777">
        <w:tc>
          <w:tcPr>
            <w:tcW w:w="2900" w:type="dxa"/>
          </w:tcPr>
          <w:p w14:paraId="0B5BC0CA" w14:textId="77777777" w:rsidR="00E526C5" w:rsidRDefault="00000000">
            <w:pPr>
              <w:ind w:left="0" w:hanging="2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Семинарски рад</w:t>
            </w:r>
          </w:p>
        </w:tc>
        <w:tc>
          <w:tcPr>
            <w:tcW w:w="2293" w:type="dxa"/>
            <w:gridSpan w:val="2"/>
          </w:tcPr>
          <w:p w14:paraId="59FFC957" w14:textId="77777777" w:rsidR="00E526C5" w:rsidRDefault="00000000">
            <w:pPr>
              <w:ind w:left="0" w:hanging="2"/>
              <w:jc w:val="center"/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5</w:t>
            </w:r>
          </w:p>
        </w:tc>
        <w:tc>
          <w:tcPr>
            <w:tcW w:w="2848" w:type="dxa"/>
          </w:tcPr>
          <w:p w14:paraId="44DC0524" w14:textId="77777777" w:rsidR="00E526C5" w:rsidRDefault="00000000">
            <w:pPr>
              <w:ind w:left="0" w:hanging="2"/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sz w:val="20"/>
                <w:szCs w:val="20"/>
              </w:rPr>
              <w:t> </w:t>
            </w:r>
          </w:p>
        </w:tc>
        <w:tc>
          <w:tcPr>
            <w:tcW w:w="1535" w:type="dxa"/>
          </w:tcPr>
          <w:p w14:paraId="47BE1D8E" w14:textId="77777777" w:rsidR="00E526C5" w:rsidRDefault="00E526C5">
            <w:pPr>
              <w:ind w:left="0" w:hanging="2"/>
              <w:rPr>
                <w:rFonts w:ascii="Times" w:eastAsia="Times" w:hAnsi="Times" w:cs="Times"/>
                <w:sz w:val="20"/>
                <w:szCs w:val="20"/>
              </w:rPr>
            </w:pPr>
          </w:p>
        </w:tc>
      </w:tr>
    </w:tbl>
    <w:p w14:paraId="5933D37C" w14:textId="77777777" w:rsidR="00E526C5" w:rsidRDefault="00E526C5">
      <w:pPr>
        <w:ind w:left="0" w:hanging="2"/>
      </w:pPr>
    </w:p>
    <w:p w14:paraId="34452818" w14:textId="77777777" w:rsidR="00E526C5" w:rsidRDefault="00E526C5">
      <w:pPr>
        <w:ind w:left="0" w:hanging="2"/>
      </w:pPr>
    </w:p>
    <w:sectPr w:rsidR="00E526C5">
      <w:pgSz w:w="12240" w:h="15840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f1"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Sylfaen"/>
    <w:panose1 w:val="00000500000000020000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6C5"/>
    <w:rsid w:val="0036213E"/>
    <w:rsid w:val="008E14B5"/>
    <w:rsid w:val="00E5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6ED689"/>
  <w15:docId w15:val="{80B5E55F-7D8A-5E4F-B1F8-363463AB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val="en-US"/>
    </w:rPr>
  </w:style>
  <w:style w:type="character" w:customStyle="1" w:styleId="hps">
    <w:name w:val="hps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ff11">
    <w:name w:val="ff11"/>
    <w:rPr>
      <w:rFonts w:ascii="ff1" w:hAnsi="ff1" w:hint="default"/>
      <w:w w:val="100"/>
      <w:position w:val="-1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8E14B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14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Sanja%20Kovacic.docx" TargetMode="External"/><Relationship Id="rId5" Type="http://schemas.openxmlformats.org/officeDocument/2006/relationships/hyperlink" Target="../../Standard%209/Tabela%209.1a%20-%20Knjiga%20nastavnika/Ivana%20V.%20Bles&#780;ic&#76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sRjzBF1eOOzdSOTy2GtEP9bf99w==">AMUW2mU4XZx/OHrYgqOa9za9tzkBElFVZlZAXKB/V2dN5mdX75YmLhl2ywitMuXeBAEP5tOYRZ6fEBgE7eFPrPo9L8KlATSjBx58xVZbLUHUVB7A29RwOnc=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Ugljesa</dc:creator>
  <cp:lastModifiedBy>Miroslav Vujičić</cp:lastModifiedBy>
  <cp:revision>2</cp:revision>
  <dcterms:created xsi:type="dcterms:W3CDTF">2023-11-16T23:13:00Z</dcterms:created>
  <dcterms:modified xsi:type="dcterms:W3CDTF">2023-11-16T23:13:00Z</dcterms:modified>
</cp:coreProperties>
</file>