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0" w:type="dxa"/>
        <w:tblInd w:w="-522" w:type="dxa"/>
        <w:tblLayout w:type="fixed"/>
        <w:tblLook w:val="0000" w:firstRow="0" w:lastRow="0" w:firstColumn="0" w:lastColumn="0" w:noHBand="0" w:noVBand="0"/>
      </w:tblPr>
      <w:tblGrid>
        <w:gridCol w:w="3260"/>
        <w:gridCol w:w="10"/>
        <w:gridCol w:w="1860"/>
        <w:gridCol w:w="1410"/>
        <w:gridCol w:w="1200"/>
        <w:gridCol w:w="2070"/>
      </w:tblGrid>
      <w:tr w:rsidR="004F74EA" w:rsidRPr="0069483E" w14:paraId="3B9BE662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5D1FDB" w14:textId="77777777" w:rsidR="004F74EA" w:rsidRPr="00DB3881" w:rsidRDefault="004F74EA" w:rsidP="002F2552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713D97">
              <w:rPr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Pr="00DB3881">
              <w:rPr>
                <w:sz w:val="20"/>
                <w:szCs w:val="20"/>
                <w:lang w:val="sr-Cyrl-CS"/>
              </w:rPr>
              <w:t xml:space="preserve"> </w:t>
            </w:r>
            <w:r w:rsidRPr="00713D97">
              <w:rPr>
                <w:b/>
                <w:bCs/>
                <w:sz w:val="20"/>
                <w:szCs w:val="20"/>
              </w:rPr>
              <w:t>MAC Туризам</w:t>
            </w:r>
          </w:p>
        </w:tc>
      </w:tr>
      <w:tr w:rsidR="004F74EA" w:rsidRPr="0069483E" w14:paraId="06EFC6AA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E1FE90" w14:textId="77777777" w:rsidR="004F74EA" w:rsidRPr="0003090D" w:rsidRDefault="004F74EA" w:rsidP="004F74EA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>
              <w:rPr>
                <w:bCs/>
                <w:sz w:val="20"/>
                <w:szCs w:val="20"/>
              </w:rPr>
              <w:t>Tуризам и коришћење дивљег света</w:t>
            </w:r>
          </w:p>
        </w:tc>
      </w:tr>
      <w:tr w:rsidR="004F74EA" w:rsidRPr="0069483E" w14:paraId="5212F57D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A50DE6" w14:textId="1287FBC3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Наставник: </w:t>
            </w:r>
            <w:hyperlink r:id="rId5" w:history="1">
              <w:r w:rsidRPr="00ED7C16">
                <w:rPr>
                  <w:rStyle w:val="Hyperlink"/>
                  <w:bCs/>
                  <w:sz w:val="20"/>
                  <w:szCs w:val="20"/>
                  <w:lang w:val="sr-Cyrl-CS"/>
                </w:rPr>
                <w:t>Милосава Матејевић</w:t>
              </w:r>
            </w:hyperlink>
          </w:p>
        </w:tc>
      </w:tr>
      <w:tr w:rsidR="004F74EA" w:rsidRPr="0069483E" w14:paraId="6111DFAE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609A72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69483E">
              <w:rPr>
                <w:b/>
                <w:sz w:val="20"/>
                <w:szCs w:val="20"/>
                <w:lang w:val="sr-Cyrl-CS"/>
              </w:rPr>
              <w:t>Статус предмета</w:t>
            </w:r>
            <w:r w:rsidRPr="0069483E">
              <w:rPr>
                <w:sz w:val="20"/>
                <w:szCs w:val="20"/>
                <w:lang w:val="sr-Cyrl-CS"/>
              </w:rPr>
              <w:t>:</w:t>
            </w: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>обавезни</w:t>
            </w:r>
            <w:r w:rsidRPr="0069483E">
              <w:rPr>
                <w:sz w:val="20"/>
                <w:szCs w:val="20"/>
                <w:lang w:val="sr-Cyrl-CS"/>
              </w:rPr>
              <w:t xml:space="preserve"> предмет</w:t>
            </w:r>
            <w:r w:rsidR="00CD1B0A">
              <w:rPr>
                <w:sz w:val="20"/>
                <w:szCs w:val="20"/>
                <w:lang w:val="sr-Cyrl-CS"/>
              </w:rPr>
              <w:t xml:space="preserve"> на модулу Авантуристички туризам</w:t>
            </w:r>
          </w:p>
        </w:tc>
      </w:tr>
      <w:tr w:rsidR="004F74EA" w:rsidRPr="0069483E" w14:paraId="08E3B635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BEEF01" w14:textId="77777777" w:rsidR="004F74EA" w:rsidRPr="004F74EA" w:rsidRDefault="004F74EA" w:rsidP="004F74EA">
            <w:pPr>
              <w:autoSpaceDE w:val="0"/>
              <w:autoSpaceDN w:val="0"/>
              <w:adjustRightInd w:val="0"/>
              <w:ind w:left="72" w:right="72"/>
              <w:rPr>
                <w:b/>
                <w:sz w:val="20"/>
                <w:szCs w:val="20"/>
              </w:rPr>
            </w:pPr>
            <w:r w:rsidRPr="0069483E">
              <w:rPr>
                <w:b/>
                <w:sz w:val="20"/>
                <w:szCs w:val="20"/>
                <w:lang w:val="sr-Cyrl-CS"/>
              </w:rPr>
              <w:t>Број ЕСПБ:</w:t>
            </w: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4F74EA" w:rsidRPr="0069483E" w14:paraId="66FCB103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D1D59D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rPr>
                <w:sz w:val="20"/>
                <w:szCs w:val="20"/>
              </w:rPr>
            </w:pPr>
            <w:r w:rsidRPr="0069483E">
              <w:rPr>
                <w:b/>
                <w:sz w:val="20"/>
                <w:szCs w:val="20"/>
                <w:lang w:val="sr-Cyrl-CS"/>
              </w:rPr>
              <w:t>Услов</w:t>
            </w:r>
            <w:r w:rsidRPr="0069483E">
              <w:rPr>
                <w:sz w:val="20"/>
                <w:szCs w:val="20"/>
                <w:lang w:val="sr-Cyrl-CS"/>
              </w:rPr>
              <w:t>:</w:t>
            </w: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4F74EA" w:rsidRPr="0069483E" w14:paraId="3F526C8D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1FBD26" w14:textId="77777777" w:rsidR="004F74EA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Циљ предмета</w:t>
            </w:r>
            <w:r w:rsidRPr="0069483E">
              <w:rPr>
                <w:sz w:val="20"/>
                <w:szCs w:val="20"/>
                <w:lang w:val="sr-Cyrl-CS"/>
              </w:rPr>
              <w:t xml:space="preserve"> </w:t>
            </w:r>
          </w:p>
          <w:p w14:paraId="67A81459" w14:textId="77777777" w:rsidR="004F74EA" w:rsidRPr="004F74EA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</w:rPr>
            </w:pPr>
            <w:r w:rsidRPr="004F74EA">
              <w:rPr>
                <w:sz w:val="20"/>
                <w:szCs w:val="20"/>
                <w:lang w:val="sr-Cyrl-CS"/>
              </w:rPr>
              <w:t xml:space="preserve">Циљ предмета је </w:t>
            </w:r>
            <w:r w:rsidRPr="004F74EA">
              <w:rPr>
                <w:sz w:val="20"/>
                <w:szCs w:val="20"/>
              </w:rPr>
              <w:t>упознавање студената са теоријским основама туризма дивљег света и стицање знања о начину организовања туристичких активности које имају за циљ контакт туриста са дивљим животињама.</w:t>
            </w:r>
          </w:p>
          <w:p w14:paraId="3621875B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4F74EA" w:rsidRPr="0069483E" w14:paraId="13CFB9CA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1B236E" w14:textId="77777777" w:rsidR="004F74EA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242B145F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sr-Cyrl-CS"/>
              </w:rPr>
            </w:pPr>
            <w:r w:rsidRPr="004F74EA">
              <w:rPr>
                <w:bCs/>
                <w:sz w:val="20"/>
                <w:szCs w:val="20"/>
                <w:lang w:val="sr-Cyrl-CS"/>
              </w:rPr>
              <w:t>По завршетку курса</w:t>
            </w:r>
            <w:r w:rsidRPr="004F74EA">
              <w:rPr>
                <w:sz w:val="20"/>
                <w:szCs w:val="20"/>
                <w:lang w:val="sr-Cyrl-CS"/>
              </w:rPr>
              <w:t xml:space="preserve"> студенти ће бити у стању да развију свеобухватно разумевање свих принципа </w:t>
            </w:r>
            <w:r w:rsidRPr="004F74EA">
              <w:rPr>
                <w:sz w:val="20"/>
                <w:szCs w:val="20"/>
              </w:rPr>
              <w:t xml:space="preserve">туризма дивљег света, и да </w:t>
            </w:r>
            <w:r w:rsidRPr="004F74EA">
              <w:rPr>
                <w:sz w:val="20"/>
                <w:szCs w:val="20"/>
                <w:lang w:val="sr-Cyrl-CS"/>
              </w:rPr>
              <w:t xml:space="preserve">самостално и критички анализирају могућности за развој овог облика туризма и унапређење туристичког производа на одређеној туристичкој дестинацији или креирање новог туристичког производа из области туризма дивљег света. </w:t>
            </w:r>
          </w:p>
          <w:p w14:paraId="23B93916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4F74EA" w:rsidRPr="0069483E" w14:paraId="731AB674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174816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4F353554" w14:textId="77777777" w:rsidR="004F74EA" w:rsidRPr="0069483E" w:rsidRDefault="004F74EA" w:rsidP="00CD1B0A">
            <w:pPr>
              <w:autoSpaceDE w:val="0"/>
              <w:autoSpaceDN w:val="0"/>
              <w:adjustRightInd w:val="0"/>
              <w:ind w:right="72"/>
              <w:jc w:val="both"/>
              <w:rPr>
                <w:sz w:val="20"/>
                <w:szCs w:val="20"/>
                <w:lang w:val="sr-Cyrl-CS"/>
              </w:rPr>
            </w:pPr>
            <w:r w:rsidRPr="0069483E">
              <w:rPr>
                <w:b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Pr="0069483E">
              <w:rPr>
                <w:i/>
                <w:iCs/>
                <w:sz w:val="20"/>
                <w:szCs w:val="20"/>
                <w:lang w:val="sr-Cyrl-CS"/>
              </w:rPr>
              <w:t>:</w:t>
            </w:r>
            <w:r w:rsidRPr="0069483E">
              <w:rPr>
                <w:sz w:val="20"/>
                <w:szCs w:val="20"/>
                <w:lang w:val="sr-Cyrl-CS"/>
              </w:rPr>
              <w:t xml:space="preserve"> састоји се у слушању следећих наставних јединица: </w:t>
            </w:r>
          </w:p>
          <w:p w14:paraId="474BC057" w14:textId="77777777" w:rsidR="004F74EA" w:rsidRPr="0084691D" w:rsidRDefault="004F74EA" w:rsidP="0084691D">
            <w:pPr>
              <w:autoSpaceDE w:val="0"/>
              <w:autoSpaceDN w:val="0"/>
              <w:adjustRightInd w:val="0"/>
              <w:ind w:right="72"/>
              <w:jc w:val="both"/>
              <w:rPr>
                <w:sz w:val="20"/>
                <w:szCs w:val="20"/>
                <w:lang w:val="sr-Cyrl-CS"/>
              </w:rPr>
            </w:pPr>
            <w:r w:rsidRPr="0084691D">
              <w:rPr>
                <w:sz w:val="20"/>
                <w:szCs w:val="20"/>
              </w:rPr>
              <w:t xml:space="preserve">Појам и дефинисање туризма дивљег света; </w:t>
            </w:r>
            <w:r w:rsidRPr="0084691D">
              <w:rPr>
                <w:sz w:val="20"/>
                <w:szCs w:val="20"/>
                <w:lang w:val="sr-Cyrl-CS"/>
              </w:rPr>
              <w:t>Специфичности овог облика туризма; Класификација туристичких активности у оквиру туризма дивљег света; Туристичка тражња, Потрошачки и непотрошачки облици туризма дивљег света; Ловни и риболовни туризам, Посматрање животиња, Фотосафари, Зоо туризам, Други облици туризма дивљег света; Економски значај туризма дивљег света; Позитивни и негативни утицај на дивљи свет и животну средину.</w:t>
            </w:r>
          </w:p>
          <w:p w14:paraId="401EA7DE" w14:textId="77777777" w:rsidR="004F74EA" w:rsidRPr="0069483E" w:rsidRDefault="004F74EA" w:rsidP="00CD1B0A">
            <w:pPr>
              <w:autoSpaceDE w:val="0"/>
              <w:autoSpaceDN w:val="0"/>
              <w:adjustRightInd w:val="0"/>
              <w:ind w:right="72"/>
              <w:jc w:val="both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i/>
                <w:iCs/>
                <w:sz w:val="20"/>
                <w:szCs w:val="20"/>
                <w:lang w:val="sr-Cyrl-CS"/>
              </w:rPr>
              <w:t>Практична настава</w:t>
            </w:r>
            <w:r w:rsidRPr="0069483E">
              <w:rPr>
                <w:i/>
                <w:iCs/>
                <w:sz w:val="20"/>
                <w:szCs w:val="20"/>
                <w:lang w:val="sr-Cyrl-CS"/>
              </w:rPr>
              <w:t>:</w:t>
            </w:r>
            <w:r w:rsidRPr="0069483E">
              <w:rPr>
                <w:i/>
                <w:iCs/>
                <w:sz w:val="20"/>
                <w:szCs w:val="20"/>
              </w:rPr>
              <w:t xml:space="preserve"> </w:t>
            </w:r>
            <w:r w:rsidR="00CD1B0A" w:rsidRPr="00416782">
              <w:rPr>
                <w:iCs/>
                <w:sz w:val="20"/>
                <w:szCs w:val="20"/>
              </w:rPr>
              <w:t>учешће у</w:t>
            </w:r>
            <w:r w:rsidR="00CD1B0A" w:rsidRPr="0069483E">
              <w:rPr>
                <w:sz w:val="20"/>
                <w:szCs w:val="20"/>
                <w:lang w:val="sr-Cyrl-CS"/>
              </w:rPr>
              <w:t xml:space="preserve"> </w:t>
            </w:r>
            <w:r w:rsidR="00CD1B0A">
              <w:rPr>
                <w:sz w:val="20"/>
                <w:szCs w:val="20"/>
                <w:lang w:val="sr-Cyrl-CS"/>
              </w:rPr>
              <w:t>организовању различитих облика туристичких активности заснованих на сусрету са дивљим животињама; учешће у спровођењу различитих оперативних мера у ловиштима у циљу одржавања функционалности ловнотуристичке дестинације; обилазак и учешће у активностима НП „Фрушка гора“</w:t>
            </w:r>
            <w:r w:rsidRPr="0069483E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4F74EA" w:rsidRPr="0069483E" w14:paraId="72CE6905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D672EE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rPr>
                <w:b/>
                <w:bCs/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  <w:r w:rsidRPr="0069483E">
              <w:rPr>
                <w:b/>
                <w:bCs/>
                <w:sz w:val="20"/>
                <w:szCs w:val="20"/>
              </w:rPr>
              <w:t>(Обавезна):</w:t>
            </w:r>
          </w:p>
          <w:p w14:paraId="5803F8CA" w14:textId="77777777" w:rsidR="00220BB1" w:rsidRPr="005368D6" w:rsidRDefault="005368D6" w:rsidP="00220BB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72"/>
              <w:jc w:val="both"/>
              <w:rPr>
                <w:iCs/>
                <w:sz w:val="20"/>
                <w:szCs w:val="20"/>
              </w:rPr>
            </w:pPr>
            <w:r w:rsidRPr="005368D6">
              <w:rPr>
                <w:bCs/>
                <w:iCs/>
                <w:sz w:val="20"/>
                <w:szCs w:val="20"/>
              </w:rPr>
              <w:t>Newsome,</w:t>
            </w:r>
            <w:r>
              <w:rPr>
                <w:bCs/>
                <w:iCs/>
                <w:sz w:val="20"/>
                <w:szCs w:val="20"/>
              </w:rPr>
              <w:t xml:space="preserve"> D.,</w:t>
            </w:r>
            <w:r w:rsidRPr="005368D6">
              <w:rPr>
                <w:bCs/>
                <w:iCs/>
                <w:sz w:val="20"/>
                <w:szCs w:val="20"/>
              </w:rPr>
              <w:t xml:space="preserve"> Dowling,</w:t>
            </w:r>
            <w:r>
              <w:rPr>
                <w:bCs/>
                <w:iCs/>
                <w:sz w:val="20"/>
                <w:szCs w:val="20"/>
              </w:rPr>
              <w:t xml:space="preserve"> R., </w:t>
            </w:r>
            <w:r w:rsidRPr="005368D6">
              <w:rPr>
                <w:bCs/>
                <w:iCs/>
                <w:sz w:val="20"/>
                <w:szCs w:val="20"/>
              </w:rPr>
              <w:t>Moore</w:t>
            </w:r>
            <w:r>
              <w:rPr>
                <w:bCs/>
                <w:iCs/>
                <w:sz w:val="20"/>
                <w:szCs w:val="20"/>
              </w:rPr>
              <w:t>, S.</w:t>
            </w:r>
            <w:r w:rsidRPr="005368D6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(2005). </w:t>
            </w:r>
            <w:r w:rsidRPr="005368D6">
              <w:rPr>
                <w:bCs/>
                <w:iCs/>
                <w:sz w:val="20"/>
                <w:szCs w:val="20"/>
              </w:rPr>
              <w:t>Wildlife Tourism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5368D6">
              <w:rPr>
                <w:bCs/>
                <w:iCs/>
                <w:sz w:val="20"/>
                <w:szCs w:val="20"/>
              </w:rPr>
              <w:t>Frankfurt Lodge, Clevedon Hall, Victoria Road, Clevedon BS21 7HH.</w:t>
            </w:r>
          </w:p>
          <w:p w14:paraId="2B6C3F8A" w14:textId="77777777" w:rsidR="004F74EA" w:rsidRPr="005368D6" w:rsidRDefault="009F2020" w:rsidP="005368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72"/>
              <w:jc w:val="both"/>
              <w:rPr>
                <w:iCs/>
                <w:sz w:val="20"/>
                <w:szCs w:val="20"/>
              </w:rPr>
            </w:pPr>
            <w:r w:rsidRPr="00801ED8">
              <w:rPr>
                <w:iCs/>
                <w:sz w:val="20"/>
                <w:szCs w:val="20"/>
              </w:rPr>
              <w:t>Matejevic, M., Markovic, V. (eds) (2023). Evaluating the hunting tourism potential – International case studies, University of Novi Sad, Faculty of Sciences, Department of Geography, Tourism and Hotel Management ISBN 978-86-7031-617-1 (pdf)</w:t>
            </w:r>
            <w:r>
              <w:rPr>
                <w:iCs/>
                <w:sz w:val="20"/>
                <w:szCs w:val="20"/>
              </w:rPr>
              <w:t xml:space="preserve">, </w:t>
            </w:r>
            <w:hyperlink r:id="rId6" w:history="1">
              <w:r w:rsidRPr="00364813">
                <w:rPr>
                  <w:rStyle w:val="Hyperlink"/>
                  <w:iCs/>
                  <w:sz w:val="20"/>
                  <w:szCs w:val="20"/>
                </w:rPr>
                <w:t>https://huntour.czu.cz/en/r-16526-outputs/r-19310-o3-case-study-evaluating-the-hunting-tourism-potential</w:t>
              </w:r>
            </w:hyperlink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4F74EA" w:rsidRPr="0069483E" w14:paraId="6F30D342" w14:textId="77777777" w:rsidTr="002F2552">
        <w:trPr>
          <w:trHeight w:val="344"/>
        </w:trPr>
        <w:tc>
          <w:tcPr>
            <w:tcW w:w="32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39FE77D" w14:textId="78E46929" w:rsidR="004F74EA" w:rsidRPr="00DA0468" w:rsidRDefault="004F74EA" w:rsidP="004F74EA">
            <w:pPr>
              <w:tabs>
                <w:tab w:val="left" w:pos="567"/>
              </w:tabs>
              <w:spacing w:after="60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</w:rPr>
              <w:t xml:space="preserve">Број часова  активне наставе </w:t>
            </w:r>
            <w:r w:rsidRPr="00C00D8C">
              <w:rPr>
                <w:b/>
                <w:bCs/>
                <w:sz w:val="20"/>
                <w:szCs w:val="20"/>
              </w:rPr>
              <w:t xml:space="preserve"> </w:t>
            </w:r>
            <w:r w:rsidR="00DA0468">
              <w:rPr>
                <w:b/>
                <w:b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8809E38" w14:textId="77777777" w:rsidR="004F74EA" w:rsidRPr="00C00D8C" w:rsidRDefault="004F74EA" w:rsidP="002F2552">
            <w:pPr>
              <w:tabs>
                <w:tab w:val="left" w:pos="567"/>
              </w:tabs>
              <w:spacing w:after="60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Теоријска настава: 3</w:t>
            </w:r>
          </w:p>
        </w:tc>
        <w:tc>
          <w:tcPr>
            <w:tcW w:w="32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42B544" w14:textId="77777777" w:rsidR="004F74EA" w:rsidRPr="00C00D8C" w:rsidRDefault="004F74EA" w:rsidP="002F2552">
            <w:pPr>
              <w:tabs>
                <w:tab w:val="left" w:pos="567"/>
              </w:tabs>
              <w:spacing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Практична настава: 2</w:t>
            </w:r>
          </w:p>
        </w:tc>
      </w:tr>
      <w:tr w:rsidR="004F74EA" w:rsidRPr="0069483E" w14:paraId="1B7396D4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2577D9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 w:right="72"/>
              <w:jc w:val="both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  <w:r w:rsidRPr="0069483E">
              <w:rPr>
                <w:sz w:val="20"/>
                <w:szCs w:val="20"/>
                <w:lang w:val="sr-Cyrl-CS"/>
              </w:rPr>
              <w:t xml:space="preserve"> </w:t>
            </w:r>
            <w:r w:rsidRPr="00DB3881">
              <w:rPr>
                <w:sz w:val="20"/>
                <w:szCs w:val="20"/>
                <w:lang w:val="sr-Cyrl-CS"/>
              </w:rPr>
              <w:t xml:space="preserve">спроводи се усменим излагањем, методама разговора и </w:t>
            </w:r>
            <w:r w:rsidRPr="00DB3881">
              <w:rPr>
                <w:sz w:val="20"/>
                <w:szCs w:val="20"/>
              </w:rPr>
              <w:t>илустративно-демонстративном методом</w:t>
            </w:r>
            <w:r w:rsidRPr="00DB388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4F74EA" w:rsidRPr="0069483E" w14:paraId="60EC7913" w14:textId="77777777" w:rsidTr="002F2552">
        <w:trPr>
          <w:trHeight w:val="1"/>
        </w:trPr>
        <w:tc>
          <w:tcPr>
            <w:tcW w:w="981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6DF212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  <w:lang w:val="ru-RU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F74EA" w:rsidRPr="0069483E" w14:paraId="72CA9B53" w14:textId="77777777" w:rsidTr="002F2552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AEDB441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290019" w14:textId="77777777" w:rsidR="004F74EA" w:rsidRPr="00C00D8C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C00D8C">
              <w:rPr>
                <w:bCs/>
                <w:sz w:val="20"/>
                <w:szCs w:val="20"/>
              </w:rPr>
              <w:t>П</w:t>
            </w:r>
            <w:r w:rsidRPr="00C00D8C">
              <w:rPr>
                <w:bCs/>
                <w:sz w:val="20"/>
                <w:szCs w:val="20"/>
                <w:lang w:val="sr-Cyrl-CS"/>
              </w:rPr>
              <w:t>оена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F59ADF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sz w:val="20"/>
                <w:szCs w:val="20"/>
                <w:lang w:val="sr-Cyrl-CS"/>
              </w:rPr>
              <w:t>Завршни испит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43240B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П</w:t>
            </w:r>
            <w:r w:rsidRPr="0069483E">
              <w:rPr>
                <w:b/>
                <w:bCs/>
                <w:sz w:val="20"/>
                <w:szCs w:val="20"/>
                <w:lang w:val="sr-Cyrl-CS"/>
              </w:rPr>
              <w:t>оена</w:t>
            </w:r>
          </w:p>
        </w:tc>
      </w:tr>
      <w:tr w:rsidR="004F74EA" w:rsidRPr="0069483E" w14:paraId="0776BD2D" w14:textId="77777777" w:rsidTr="002F2552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1B5BD7B" w14:textId="77777777" w:rsidR="004F74EA" w:rsidRDefault="004F74EA" w:rsidP="002F2552">
            <w:pPr>
              <w:tabs>
                <w:tab w:val="left" w:pos="567"/>
              </w:tabs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32FB1E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D862CD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530F17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</w:p>
        </w:tc>
      </w:tr>
      <w:tr w:rsidR="004F74EA" w:rsidRPr="0069483E" w14:paraId="5F0F4FFE" w14:textId="77777777" w:rsidTr="002F2552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1442D54" w14:textId="77777777" w:rsidR="004F74EA" w:rsidRDefault="004F74EA" w:rsidP="002F2552">
            <w:pPr>
              <w:tabs>
                <w:tab w:val="left" w:pos="567"/>
              </w:tabs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8BE261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788E9D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sz w:val="20"/>
                <w:szCs w:val="20"/>
                <w:lang w:val="sr-Cyrl-CS"/>
              </w:rPr>
              <w:t>усмени испит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03DBAC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45</w:t>
            </w:r>
          </w:p>
        </w:tc>
      </w:tr>
      <w:tr w:rsidR="004F74EA" w:rsidRPr="0069483E" w14:paraId="1763634C" w14:textId="77777777" w:rsidTr="002F2552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7C9C83" w14:textId="77777777" w:rsidR="004F74EA" w:rsidRDefault="004F74EA" w:rsidP="002F2552">
            <w:pPr>
              <w:tabs>
                <w:tab w:val="left" w:pos="567"/>
              </w:tabs>
              <w:spacing w:after="6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колоквијум-и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8D343D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A0286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i/>
                <w:iCs/>
                <w:sz w:val="20"/>
                <w:szCs w:val="20"/>
              </w:rPr>
              <w:t>..........</w:t>
            </w: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DF73A0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</w:p>
        </w:tc>
      </w:tr>
      <w:tr w:rsidR="004F74EA" w:rsidRPr="0069483E" w14:paraId="4DE650C4" w14:textId="77777777" w:rsidTr="002F2552">
        <w:trPr>
          <w:trHeight w:val="1"/>
        </w:trPr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AE515DD" w14:textId="77777777" w:rsidR="004F74EA" w:rsidRDefault="004F74EA" w:rsidP="002F2552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семинар-и</w:t>
            </w:r>
          </w:p>
        </w:tc>
        <w:tc>
          <w:tcPr>
            <w:tcW w:w="18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84A7BD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72"/>
              <w:jc w:val="center"/>
              <w:rPr>
                <w:sz w:val="20"/>
                <w:szCs w:val="20"/>
              </w:rPr>
            </w:pPr>
            <w:r w:rsidRPr="006948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23B913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-90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800FAD" w14:textId="77777777" w:rsidR="004F74EA" w:rsidRPr="0069483E" w:rsidRDefault="004F74EA" w:rsidP="002F2552">
            <w:pPr>
              <w:autoSpaceDE w:val="0"/>
              <w:autoSpaceDN w:val="0"/>
              <w:adjustRightInd w:val="0"/>
              <w:ind w:left="-90"/>
              <w:rPr>
                <w:sz w:val="20"/>
                <w:szCs w:val="20"/>
              </w:rPr>
            </w:pPr>
          </w:p>
        </w:tc>
      </w:tr>
    </w:tbl>
    <w:p w14:paraId="17B53EC8" w14:textId="77777777" w:rsidR="004F74EA" w:rsidRPr="0069483E" w:rsidRDefault="004F74EA" w:rsidP="004F74E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F362E63" w14:textId="77777777" w:rsidR="00790E10" w:rsidRDefault="00790E10"/>
    <w:sectPr w:rsidR="00790E10" w:rsidSect="00C0476B">
      <w:pgSz w:w="12240" w:h="15840"/>
      <w:pgMar w:top="126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Narrow-Book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3C2F"/>
    <w:multiLevelType w:val="hybridMultilevel"/>
    <w:tmpl w:val="89480484"/>
    <w:lvl w:ilvl="0" w:tplc="94CCED5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247E27D9"/>
    <w:multiLevelType w:val="hybridMultilevel"/>
    <w:tmpl w:val="31562EE6"/>
    <w:lvl w:ilvl="0" w:tplc="F590351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3D11686A"/>
    <w:multiLevelType w:val="hybridMultilevel"/>
    <w:tmpl w:val="F32A3EA4"/>
    <w:lvl w:ilvl="0" w:tplc="51F6A1FC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 w16cid:durableId="215553700">
    <w:abstractNumId w:val="0"/>
  </w:num>
  <w:num w:numId="2" w16cid:durableId="75251416">
    <w:abstractNumId w:val="2"/>
  </w:num>
  <w:num w:numId="3" w16cid:durableId="1996446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EA"/>
    <w:rsid w:val="0000124B"/>
    <w:rsid w:val="00036532"/>
    <w:rsid w:val="0005693D"/>
    <w:rsid w:val="00057209"/>
    <w:rsid w:val="00060F7F"/>
    <w:rsid w:val="000A062D"/>
    <w:rsid w:val="0014311F"/>
    <w:rsid w:val="001A7285"/>
    <w:rsid w:val="001E3733"/>
    <w:rsid w:val="001E39FE"/>
    <w:rsid w:val="002026C9"/>
    <w:rsid w:val="00210E75"/>
    <w:rsid w:val="00220BB1"/>
    <w:rsid w:val="0024055B"/>
    <w:rsid w:val="00277410"/>
    <w:rsid w:val="002C4E10"/>
    <w:rsid w:val="002D4572"/>
    <w:rsid w:val="002D7E68"/>
    <w:rsid w:val="003026D1"/>
    <w:rsid w:val="00350115"/>
    <w:rsid w:val="00432522"/>
    <w:rsid w:val="004B2D2C"/>
    <w:rsid w:val="004F74EA"/>
    <w:rsid w:val="005368D6"/>
    <w:rsid w:val="0059080D"/>
    <w:rsid w:val="005C7977"/>
    <w:rsid w:val="005E4E01"/>
    <w:rsid w:val="005E5045"/>
    <w:rsid w:val="00624E39"/>
    <w:rsid w:val="00637FD7"/>
    <w:rsid w:val="00665142"/>
    <w:rsid w:val="00680BF3"/>
    <w:rsid w:val="006A0938"/>
    <w:rsid w:val="006C1AB1"/>
    <w:rsid w:val="006C5160"/>
    <w:rsid w:val="00713D97"/>
    <w:rsid w:val="0072411A"/>
    <w:rsid w:val="00761568"/>
    <w:rsid w:val="00761BF8"/>
    <w:rsid w:val="00790E10"/>
    <w:rsid w:val="007B27CB"/>
    <w:rsid w:val="007C2301"/>
    <w:rsid w:val="008219FA"/>
    <w:rsid w:val="0082279D"/>
    <w:rsid w:val="00841AD6"/>
    <w:rsid w:val="0084691D"/>
    <w:rsid w:val="00857E65"/>
    <w:rsid w:val="0088627A"/>
    <w:rsid w:val="008B5411"/>
    <w:rsid w:val="00904DA7"/>
    <w:rsid w:val="009114BE"/>
    <w:rsid w:val="009613B0"/>
    <w:rsid w:val="00966844"/>
    <w:rsid w:val="009741C6"/>
    <w:rsid w:val="00974C3B"/>
    <w:rsid w:val="009807F4"/>
    <w:rsid w:val="00987138"/>
    <w:rsid w:val="009C446E"/>
    <w:rsid w:val="009E4E5C"/>
    <w:rsid w:val="009F2020"/>
    <w:rsid w:val="00A111CF"/>
    <w:rsid w:val="00A14C08"/>
    <w:rsid w:val="00A53423"/>
    <w:rsid w:val="00A92B40"/>
    <w:rsid w:val="00AA4385"/>
    <w:rsid w:val="00AB4FFD"/>
    <w:rsid w:val="00AE21CE"/>
    <w:rsid w:val="00AE3CB8"/>
    <w:rsid w:val="00AE6DE4"/>
    <w:rsid w:val="00B45BFD"/>
    <w:rsid w:val="00B822E0"/>
    <w:rsid w:val="00BE7B38"/>
    <w:rsid w:val="00C5021C"/>
    <w:rsid w:val="00C750DA"/>
    <w:rsid w:val="00CD1B0A"/>
    <w:rsid w:val="00DA0468"/>
    <w:rsid w:val="00DB329A"/>
    <w:rsid w:val="00DC7435"/>
    <w:rsid w:val="00DF5B39"/>
    <w:rsid w:val="00DF5E4E"/>
    <w:rsid w:val="00E23A43"/>
    <w:rsid w:val="00E41952"/>
    <w:rsid w:val="00E665FE"/>
    <w:rsid w:val="00E9295F"/>
    <w:rsid w:val="00ED7C16"/>
    <w:rsid w:val="00EF38B8"/>
    <w:rsid w:val="00F00F87"/>
    <w:rsid w:val="00F27E15"/>
    <w:rsid w:val="00F322AA"/>
    <w:rsid w:val="00F55086"/>
    <w:rsid w:val="00FA5484"/>
    <w:rsid w:val="00FA6A6D"/>
    <w:rsid w:val="00FC7B62"/>
    <w:rsid w:val="00FF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025509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F74E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74EA"/>
    <w:pPr>
      <w:ind w:left="720"/>
      <w:contextualSpacing/>
    </w:pPr>
  </w:style>
  <w:style w:type="character" w:customStyle="1" w:styleId="fontstyle01">
    <w:name w:val="fontstyle01"/>
    <w:basedOn w:val="DefaultParagraphFont"/>
    <w:rsid w:val="004F74EA"/>
    <w:rPr>
      <w:rFonts w:ascii="GothamNarrow-Book" w:hAnsi="GothamNarrow-Book" w:hint="default"/>
      <w:b w:val="0"/>
      <w:bCs w:val="0"/>
      <w:i w:val="0"/>
      <w:iCs w:val="0"/>
      <w:color w:val="000000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D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untour.czu.cz/en/r-16526-outputs/r-19310-o3-case-study-evaluating-the-hunting-tourism-potential" TargetMode="External"/><Relationship Id="rId5" Type="http://schemas.openxmlformats.org/officeDocument/2006/relationships/hyperlink" Target="../../Standard%209/Tabela%209.1a%20-%20Knjiga%20nastavnika/Milosava%20Matejevi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Miroslav Vujičić</cp:lastModifiedBy>
  <cp:revision>2</cp:revision>
  <dcterms:created xsi:type="dcterms:W3CDTF">2023-11-16T23:22:00Z</dcterms:created>
  <dcterms:modified xsi:type="dcterms:W3CDTF">2023-11-16T23:22:00Z</dcterms:modified>
</cp:coreProperties>
</file>