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46"/>
        <w:gridCol w:w="1961"/>
        <w:gridCol w:w="1175"/>
        <w:gridCol w:w="2048"/>
        <w:gridCol w:w="1446"/>
      </w:tblGrid>
      <w:tr w:rsidR="0089613A" w14:paraId="654076BE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80D6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Студијскипрограм: МAС Туризам</w:t>
            </w:r>
          </w:p>
        </w:tc>
      </w:tr>
      <w:tr w:rsidR="0089613A" w14:paraId="40FCA792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5187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Стратегијски менаџмент хране и пића </w:t>
            </w:r>
          </w:p>
        </w:tc>
      </w:tr>
      <w:tr w:rsidR="0089613A" w14:paraId="45F83010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56BE0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8" w:history="1">
              <w:r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Драг</w:t>
              </w:r>
              <w:r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а</w:t>
              </w:r>
              <w:r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н Тешановић</w:t>
              </w:r>
            </w:hyperlink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9" w:history="1">
              <w:r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Светлана Вукосав</w:t>
              </w:r>
            </w:hyperlink>
          </w:p>
        </w:tc>
      </w:tr>
      <w:tr w:rsidR="0089613A" w14:paraId="309C1138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BEC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</w:rPr>
              <w:t xml:space="preserve">Обавезан </w:t>
            </w:r>
            <w:r>
              <w:rPr>
                <w:rFonts w:ascii="Times New Roman" w:eastAsia="Times New Roman" w:hAnsi="Times New Roman"/>
                <w:lang w:val="sr-Cyrl-RS"/>
              </w:rPr>
              <w:t>предмет на модулима гастрономија и наставник (куварство, посластичарство и услуживање)</w:t>
            </w:r>
          </w:p>
        </w:tc>
      </w:tr>
      <w:tr w:rsidR="0089613A" w14:paraId="26FF6AD3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4FE8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7</w:t>
            </w:r>
          </w:p>
        </w:tc>
      </w:tr>
      <w:tr w:rsidR="0089613A" w14:paraId="54ADC174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1D7B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нема</w:t>
            </w:r>
          </w:p>
        </w:tc>
      </w:tr>
      <w:tr w:rsidR="0089613A" w14:paraId="07A4265B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3528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33E231FB" w14:textId="77777777" w:rsidR="0089613A" w:rsidRDefault="0089613A" w:rsidP="00435D65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 xml:space="preserve">Циљ курса из Стратегијског менаџмента хране и пића је да кроз теоријску и практичну наставу студент постане свестан неопходности стратешког усмерења и опредељена у менаџменту хране и пића у хотелским ланцима, хотелским ресторанима, ресторатерским предузећима и другим угоститељским субјектима, генерално. Студенти се кроз аналитичко-синтетички приступ усмеравају да стратешки приступају управљају услуживањем и производњом хране и пића и адекватно имплементирају адекватне стратегије у циљу што бољег позиционирања целолупног угоститељског и ресторатерског предузећа на тржишту. </w:t>
            </w:r>
          </w:p>
        </w:tc>
      </w:tr>
      <w:tr w:rsidR="0089613A" w14:paraId="106D2F6D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1F11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Исход предмета</w:t>
            </w:r>
          </w:p>
          <w:p w14:paraId="659496E1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 xml:space="preserve">Савладавањем овог предмета студенти стичу способности критичког мишљења, самосталног просуђивања и решавања конкретних стратешко-управљачких проблема у ресторатерским предузећима и хотелским ресторанима односно сектору хране и пића у угоститељству.  Студент стиче основна знања за ефикасно формулисање мисије, визије и циљева, те имплеметацију адекватних стратегијских опција како на корпоративном нивоу, тако и на нивоу стратешких пословних јединаца где су услуге хране и пића изузетно значајне. Исправно формулисање статегијског микса у скаду са постављеним циљевима опредељује успешност посовања угоститељских предузећа те њихово позиционирање на туристичком тржишту. </w:t>
            </w:r>
          </w:p>
        </w:tc>
      </w:tr>
      <w:tr w:rsidR="0089613A" w14:paraId="4078CF58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1B7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647D79C" w14:textId="77777777" w:rsidR="0089613A" w:rsidRDefault="0089613A" w:rsidP="00435D65">
            <w:pPr>
              <w:widowControl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1D274FAB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Основе стратегијском менаџмента, са посебним освртом на појам и значај стратегијског менаџмента хране и пића. Формулисање стратегијских циљева, као и дефинисање мисије и визије самосталних ресторатерских предузећа и хотелских ресторана. Стратегијско управљање услугама хране и пића. Формулисање стратегијских алтернатива примењивих у области стратегиског управљана услугама хране и пића. Стратегијско планирање тржишног позционирања услуга хране и пића као стратешке пословне јединице у оквиру самосталних ресторана и хотелских ресторана. Стратегија развоја концета објеката за пружање услуга храна и пића. Стратегија израде понуде хране и пића, Стратегија набавке хране и пића, Стратегије избора производних процеса хране и пића, Стратешки правци у дефинисању контроле производно услужног процеса хране и пића, Стратегија управљања кадровима у сектору хране и пића, Стратегија развоја маркетинга у сектору и објектима хране и пића Стратегија управљања квалитетом у сектору и објектима хране и пића и Стратегијско праћење савремених трендова у сектору и објектима хране и пића</w:t>
            </w:r>
          </w:p>
          <w:p w14:paraId="08281E5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Практичнанастава</w:t>
            </w:r>
          </w:p>
          <w:p w14:paraId="06212443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 xml:space="preserve">Анализа реалних и фиктивнихс лучајева из области стратегијског упраљања услугама хране и пића, примери из праксе угоститељских предузећа. </w:t>
            </w:r>
          </w:p>
        </w:tc>
      </w:tr>
      <w:tr w:rsidR="0089613A" w14:paraId="21139817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34DD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1073F095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4AE145FE" w14:textId="77777777" w:rsidR="0089613A" w:rsidRDefault="0089613A" w:rsidP="00435D65">
            <w:pPr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7"/>
              </w:tabs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Вукосав, С.(2016):Стратегијски менаџмент угоститељско-туристичких предузећа, ПМФ, Департман за географију, туризам и хотелијерство, Нови Сад.</w:t>
            </w:r>
          </w:p>
          <w:p w14:paraId="3F46EE26" w14:textId="77777777" w:rsidR="0089613A" w:rsidRDefault="0089613A" w:rsidP="00435D65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Davis, B., Lockwood, A., Alcott, P. &amp; Pantelidis, I. (2018). Food and Beverage Management. Routledge, Taylor &amp; Francis Group: London and New York. е-издање: https://zlibrary.to/pdfs/food-and-beverage-management-3</w:t>
            </w:r>
          </w:p>
          <w:p w14:paraId="1F2B0F95" w14:textId="77777777" w:rsidR="0089613A" w:rsidRDefault="0089613A" w:rsidP="00435D65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Додатна литература</w:t>
            </w:r>
          </w:p>
          <w:p w14:paraId="5201908F" w14:textId="77777777" w:rsidR="0089613A" w:rsidRDefault="0089613A" w:rsidP="00435D65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 xml:space="preserve">Pizam, </w:t>
            </w:r>
            <w:r>
              <w:rPr>
                <w:rFonts w:ascii="Times New Roman" w:eastAsia="Times New Roman" w:hAnsi="Times New Roman"/>
                <w:color w:val="000000"/>
              </w:rPr>
              <w:t>A</w:t>
            </w:r>
            <w:r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Holcomb, J.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(2008)</w:t>
            </w:r>
            <w:r>
              <w:rPr>
                <w:rFonts w:ascii="Times New Roman" w:eastAsia="Times New Roman" w:hAnsi="Times New Roman"/>
                <w:i/>
                <w:color w:val="000000"/>
              </w:rPr>
              <w:t>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International di</w:t>
            </w:r>
            <w:r>
              <w:rPr>
                <w:rFonts w:ascii="Times New Roman" w:eastAsia="Times New Roman" w:hAnsi="Times New Roman"/>
              </w:rPr>
              <w:t>c</w:t>
            </w:r>
            <w:r>
              <w:rPr>
                <w:rFonts w:ascii="Times New Roman" w:eastAsia="Times New Roman" w:hAnsi="Times New Roman"/>
                <w:color w:val="000000"/>
              </w:rPr>
              <w:t>tionar</w:t>
            </w:r>
            <w:r>
              <w:rPr>
                <w:rFonts w:ascii="Times New Roman" w:eastAsia="Times New Roman" w:hAnsi="Times New Roman"/>
              </w:rPr>
              <w:t>y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of Hospitality m</w:t>
            </w:r>
            <w:r>
              <w:rPr>
                <w:rFonts w:ascii="Times New Roman" w:eastAsia="Times New Roman" w:hAnsi="Times New Roman"/>
              </w:rPr>
              <w:t>аnagement</w:t>
            </w:r>
            <w:r>
              <w:rPr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 xml:space="preserve"> Elsevier, Oxford, UK. е-издање: https://zlibrary.to/pdfs/international-dictionary-of-hospitality-management-0</w:t>
            </w:r>
          </w:p>
        </w:tc>
      </w:tr>
      <w:tr w:rsidR="0089613A" w14:paraId="6C28DE16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718B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Број часова активне наставе:7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840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настава:3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435B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настава:4</w:t>
            </w:r>
          </w:p>
        </w:tc>
      </w:tr>
      <w:tr w:rsidR="0089613A" w14:paraId="51B2DB9E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DEB6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258DB8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метода, рад на студијама случаја.</w:t>
            </w:r>
          </w:p>
          <w:p w14:paraId="75EAF480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613A" w14:paraId="7BD7D8EE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025D2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Оценазнања (максимални број поена 100)</w:t>
            </w:r>
          </w:p>
        </w:tc>
      </w:tr>
      <w:tr w:rsidR="0089613A" w14:paraId="4860349B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1507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57D0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DE1E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81DE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89613A" w14:paraId="5913FBDD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0AA8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89B88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9BB4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266C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50</w:t>
            </w:r>
          </w:p>
        </w:tc>
      </w:tr>
      <w:tr w:rsidR="0089613A" w14:paraId="2E86DB54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263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токувежби / практичнанастава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49D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AEE75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FC89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9613A" w14:paraId="2154B942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8EAE7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5B0A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4E2C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C906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9613A" w14:paraId="4134FE53" w14:textId="77777777" w:rsidTr="00435D65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3D6CB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3FDF8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2CCDD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15D8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89613A" w14:paraId="0596B4C3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D7D90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89613A" w14:paraId="26F469AF" w14:textId="77777777" w:rsidTr="00435D65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16034" w14:textId="77777777" w:rsidR="0089613A" w:rsidRDefault="0089613A" w:rsidP="00435D65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*максималнадужна 2 странице А4 формата</w:t>
            </w:r>
          </w:p>
        </w:tc>
      </w:tr>
    </w:tbl>
    <w:p w14:paraId="72DDAA82" w14:textId="77777777" w:rsidR="00B50E2D" w:rsidRDefault="00B50E2D"/>
    <w:sectPr w:rsidR="00B50E2D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6ADF" w14:textId="77777777" w:rsidR="00B50E2D" w:rsidRDefault="00B50E2D">
      <w:r>
        <w:separator/>
      </w:r>
    </w:p>
  </w:endnote>
  <w:endnote w:type="continuationSeparator" w:id="0">
    <w:p w14:paraId="0B76445D" w14:textId="77777777" w:rsidR="00B50E2D" w:rsidRDefault="00B5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-Heavy">
    <w:panose1 w:val="020B0703020203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66802" w14:textId="77777777" w:rsidR="00B50E2D" w:rsidRDefault="00B50E2D">
      <w:r>
        <w:separator/>
      </w:r>
    </w:p>
  </w:footnote>
  <w:footnote w:type="continuationSeparator" w:id="0">
    <w:p w14:paraId="0E674483" w14:textId="77777777" w:rsidR="00B50E2D" w:rsidRDefault="00B50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B5E0E"/>
    <w:multiLevelType w:val="hybridMultilevel"/>
    <w:tmpl w:val="23C0E5FC"/>
    <w:lvl w:ilvl="0" w:tplc="7FD46F3A">
      <w:start w:val="1"/>
      <w:numFmt w:val="decimal"/>
      <w:lvlText w:val="%1."/>
      <w:lvlJc w:val="left"/>
      <w:pPr>
        <w:ind w:left="720" w:hanging="360"/>
      </w:pPr>
    </w:lvl>
    <w:lvl w:ilvl="1" w:tplc="7E342AA6">
      <w:start w:val="1"/>
      <w:numFmt w:val="lowerLetter"/>
      <w:lvlText w:val="%2."/>
      <w:lvlJc w:val="left"/>
      <w:pPr>
        <w:ind w:left="1440" w:hanging="360"/>
      </w:pPr>
    </w:lvl>
    <w:lvl w:ilvl="2" w:tplc="80F838BA">
      <w:start w:val="1"/>
      <w:numFmt w:val="lowerRoman"/>
      <w:lvlText w:val="%3."/>
      <w:lvlJc w:val="right"/>
      <w:pPr>
        <w:ind w:left="2160" w:hanging="180"/>
      </w:pPr>
    </w:lvl>
    <w:lvl w:ilvl="3" w:tplc="C43E3600">
      <w:start w:val="1"/>
      <w:numFmt w:val="decimal"/>
      <w:lvlText w:val="%4."/>
      <w:lvlJc w:val="left"/>
      <w:pPr>
        <w:ind w:left="2880" w:hanging="360"/>
      </w:pPr>
    </w:lvl>
    <w:lvl w:ilvl="4" w:tplc="0016C670">
      <w:start w:val="1"/>
      <w:numFmt w:val="lowerLetter"/>
      <w:lvlText w:val="%5."/>
      <w:lvlJc w:val="left"/>
      <w:pPr>
        <w:ind w:left="3600" w:hanging="360"/>
      </w:pPr>
    </w:lvl>
    <w:lvl w:ilvl="5" w:tplc="40EC30E8">
      <w:start w:val="1"/>
      <w:numFmt w:val="lowerRoman"/>
      <w:lvlText w:val="%6."/>
      <w:lvlJc w:val="right"/>
      <w:pPr>
        <w:ind w:left="4320" w:hanging="180"/>
      </w:pPr>
    </w:lvl>
    <w:lvl w:ilvl="6" w:tplc="8D3263FA">
      <w:start w:val="1"/>
      <w:numFmt w:val="decimal"/>
      <w:lvlText w:val="%7."/>
      <w:lvlJc w:val="left"/>
      <w:pPr>
        <w:ind w:left="5040" w:hanging="360"/>
      </w:pPr>
    </w:lvl>
    <w:lvl w:ilvl="7" w:tplc="F31ADBF6">
      <w:start w:val="1"/>
      <w:numFmt w:val="lowerLetter"/>
      <w:lvlText w:val="%8."/>
      <w:lvlJc w:val="left"/>
      <w:pPr>
        <w:ind w:left="5760" w:hanging="360"/>
      </w:pPr>
    </w:lvl>
    <w:lvl w:ilvl="8" w:tplc="2C180A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D5B97"/>
    <w:multiLevelType w:val="hybridMultilevel"/>
    <w:tmpl w:val="F9CCCC5A"/>
    <w:lvl w:ilvl="0" w:tplc="2D22F85E">
      <w:start w:val="1"/>
      <w:numFmt w:val="decimal"/>
      <w:lvlText w:val="%1."/>
      <w:lvlJc w:val="left"/>
      <w:pPr>
        <w:ind w:left="720" w:hanging="360"/>
      </w:pPr>
    </w:lvl>
    <w:lvl w:ilvl="1" w:tplc="BC685AB8">
      <w:start w:val="1"/>
      <w:numFmt w:val="lowerLetter"/>
      <w:lvlText w:val="%2."/>
      <w:lvlJc w:val="left"/>
      <w:pPr>
        <w:ind w:left="1440" w:hanging="360"/>
      </w:pPr>
    </w:lvl>
    <w:lvl w:ilvl="2" w:tplc="9FA61E3C">
      <w:start w:val="1"/>
      <w:numFmt w:val="lowerRoman"/>
      <w:lvlText w:val="%3."/>
      <w:lvlJc w:val="right"/>
      <w:pPr>
        <w:ind w:left="2160" w:hanging="180"/>
      </w:pPr>
    </w:lvl>
    <w:lvl w:ilvl="3" w:tplc="63D08CEE">
      <w:start w:val="1"/>
      <w:numFmt w:val="decimal"/>
      <w:lvlText w:val="%4."/>
      <w:lvlJc w:val="left"/>
      <w:pPr>
        <w:ind w:left="2880" w:hanging="360"/>
      </w:pPr>
    </w:lvl>
    <w:lvl w:ilvl="4" w:tplc="165ABEEE">
      <w:start w:val="1"/>
      <w:numFmt w:val="lowerLetter"/>
      <w:lvlText w:val="%5."/>
      <w:lvlJc w:val="left"/>
      <w:pPr>
        <w:ind w:left="3600" w:hanging="360"/>
      </w:pPr>
    </w:lvl>
    <w:lvl w:ilvl="5" w:tplc="5DE804CA">
      <w:start w:val="1"/>
      <w:numFmt w:val="lowerRoman"/>
      <w:lvlText w:val="%6."/>
      <w:lvlJc w:val="right"/>
      <w:pPr>
        <w:ind w:left="4320" w:hanging="180"/>
      </w:pPr>
    </w:lvl>
    <w:lvl w:ilvl="6" w:tplc="261C5138">
      <w:start w:val="1"/>
      <w:numFmt w:val="decimal"/>
      <w:lvlText w:val="%7."/>
      <w:lvlJc w:val="left"/>
      <w:pPr>
        <w:ind w:left="5040" w:hanging="360"/>
      </w:pPr>
    </w:lvl>
    <w:lvl w:ilvl="7" w:tplc="2BB0692C">
      <w:start w:val="1"/>
      <w:numFmt w:val="lowerLetter"/>
      <w:lvlText w:val="%8."/>
      <w:lvlJc w:val="left"/>
      <w:pPr>
        <w:ind w:left="5760" w:hanging="360"/>
      </w:pPr>
    </w:lvl>
    <w:lvl w:ilvl="8" w:tplc="1D1C28F2">
      <w:start w:val="1"/>
      <w:numFmt w:val="lowerRoman"/>
      <w:lvlText w:val="%9."/>
      <w:lvlJc w:val="right"/>
      <w:pPr>
        <w:ind w:left="6480" w:hanging="180"/>
      </w:pPr>
    </w:lvl>
  </w:abstractNum>
  <w:num w:numId="1" w16cid:durableId="444616686">
    <w:abstractNumId w:val="1"/>
  </w:num>
  <w:num w:numId="2" w16cid:durableId="2076589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3C"/>
    <w:rsid w:val="004F583C"/>
    <w:rsid w:val="0089613A"/>
    <w:rsid w:val="00B50E2D"/>
    <w:rsid w:val="00F5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045ED8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semiHidden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styleId="GridTable2-Accent2">
    <w:name w:val="Grid Table 2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2-Accent3">
    <w:name w:val="Grid Table 2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2-Accent4">
    <w:name w:val="Grid Table 2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2-Accent5">
    <w:name w:val="Grid Table 2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2-Accent6">
    <w:name w:val="Grid Table 2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styleId="GridTable3-Accent2">
    <w:name w:val="Grid Table 3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3-Accent3">
    <w:name w:val="Grid Table 3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3-Accent4">
    <w:name w:val="Grid Table 3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3-Accent5">
    <w:name w:val="Grid Table 3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3-Accent6">
    <w:name w:val="Grid Table 3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styleId="GridTable4-Accent2">
    <w:name w:val="Grid Table 4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4-Accent3">
    <w:name w:val="Grid Table 4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4-Accent4">
    <w:name w:val="Grid Table 4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4-Accent5">
    <w:name w:val="Grid Table 4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4-Accent6">
    <w:name w:val="Grid Table 4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styleId="GridTable5Dark-Accent2">
    <w:name w:val="Grid Table 5 Dark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styleId="GridTable5Dark-Accent3">
    <w:name w:val="Grid Table 5 Dark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styleId="GridTable5Dark-Accent5">
    <w:name w:val="Grid Table 5 Dark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styleId="GridTable5Dark-Accent6">
    <w:name w:val="Grid Table 5 Dark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styleId="ListTable1Light-Accent2">
    <w:name w:val="List Table 1 Light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styleId="ListTable1Light-Accent3">
    <w:name w:val="List Table 1 Light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styleId="ListTable1Light-Accent4">
    <w:name w:val="List Table 1 Light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styleId="ListTable1Light-Accent5">
    <w:name w:val="List Table 1 Light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styleId="ListTable1Light-Accent6">
    <w:name w:val="List Table 1 Light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styleId="ListTable2-Accent2">
    <w:name w:val="List Table 2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styleId="ListTable2-Accent3">
    <w:name w:val="List Table 2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styleId="ListTable2-Accent4">
    <w:name w:val="List Table 2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styleId="ListTable2-Accent5">
    <w:name w:val="List Table 2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styleId="ListTable2-Accent6">
    <w:name w:val="List Table 2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styleId="ListTable4-Accent2">
    <w:name w:val="List Table 4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styleId="ListTable4-Accent3">
    <w:name w:val="List Table 4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styleId="ListTable4-Accent4">
    <w:name w:val="List Table 4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styleId="ListTable4-Accent5">
    <w:name w:val="List Table 4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styleId="ListTable4-Accent6">
    <w:name w:val="List Table 4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styleId="ListTable5Dark-Accent2">
    <w:name w:val="List Table 5 Dark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styleId="ListTable5Dark-Accent3">
    <w:name w:val="List Table 5 Dark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styleId="ListTable5Dark-Accent4">
    <w:name w:val="List Table 5 Dark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styleId="ListTable5Dark-Accent5">
    <w:name w:val="List Table 5 Dark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styleId="ListTable5Dark-Accent6">
    <w:name w:val="List Table 5 Dark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Carlito" w:eastAsia="Noto Sans SC Regular" w:hAnsi="Carlito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paragraph" w:styleId="ListParagraph">
    <w:name w:val="List Paragraph"/>
    <w:basedOn w:val="Normal"/>
    <w:pPr>
      <w:spacing w:after="160" w:line="259" w:lineRule="auto"/>
      <w:ind w:left="720"/>
      <w:contextualSpacing/>
    </w:pPr>
  </w:style>
  <w:style w:type="character" w:customStyle="1" w:styleId="fontstyle01">
    <w:name w:val="fontstyle01"/>
    <w:rPr>
      <w:rFonts w:ascii="Avenir-Heavy" w:hAnsi="Avenir-Heavy"/>
      <w:color w:val="EE3A41"/>
      <w:sz w:val="58"/>
      <w:szCs w:val="58"/>
    </w:rPr>
  </w:style>
  <w:style w:type="table" w:customStyle="1" w:styleId="UserStyle4">
    <w:name w:val="UserStyle_4"/>
    <w:basedOn w:val="TableNormal"/>
    <w:tblPr/>
  </w:style>
  <w:style w:type="character" w:styleId="Hyperlink">
    <w:name w:val="Hyperlink"/>
    <w:rPr>
      <w:color w:val="0563C1"/>
      <w:u w:val="single"/>
    </w:rPr>
  </w:style>
  <w:style w:type="character" w:styleId="UnresolvedMention">
    <w:name w:val="Unresolved Mention"/>
    <w:semiHidden/>
    <w:rPr>
      <w:color w:val="605E5C"/>
      <w:shd w:val="clear" w:color="E1DFDD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61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Dragan%20Tesanovic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Standard%209/Tabela%209.1a%20-%20Knjiga%20nastavnika/Svetlana%20Vukosav.doc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Vujičić</dc:creator>
  <cp:lastModifiedBy>Miroslav Vujičić</cp:lastModifiedBy>
  <cp:revision>2</cp:revision>
  <dcterms:created xsi:type="dcterms:W3CDTF">2023-11-16T23:19:00Z</dcterms:created>
  <dcterms:modified xsi:type="dcterms:W3CDTF">2023-11-16T23:19:00Z</dcterms:modified>
</cp:coreProperties>
</file>