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sz w:val="24"/>
          <w:szCs w:val="24"/>
          <w:rtl w:val="0"/>
        </w:rPr>
        <w:t xml:space="preserve">Спецификација Завршног - мастер рада (МКТ100)</w:t>
      </w:r>
    </w:p>
    <w:tbl>
      <w:tblPr>
        <w:tblStyle w:val="Table1"/>
        <w:tblW w:w="985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55"/>
        <w:tblGridChange w:id="0">
          <w:tblGrid>
            <w:gridCol w:w="9855"/>
          </w:tblGrid>
        </w:tblGridChange>
      </w:tblGrid>
      <w:tr>
        <w:trPr>
          <w:cantSplit w:val="0"/>
          <w:tblHeader w:val="0"/>
        </w:trPr>
        <w:tc>
          <w:tcPr/>
          <w:p w:rsidR="00000000" w:rsidDel="00000000" w:rsidP="00000000" w:rsidRDefault="00000000" w:rsidRPr="00000000" w14:paraId="00000002">
            <w:pPr>
              <w:rPr>
                <w:b w:val="1"/>
                <w:sz w:val="24"/>
                <w:szCs w:val="24"/>
              </w:rPr>
            </w:pPr>
            <w:r w:rsidDel="00000000" w:rsidR="00000000" w:rsidRPr="00000000">
              <w:rPr>
                <w:b w:val="1"/>
                <w:sz w:val="24"/>
                <w:szCs w:val="24"/>
                <w:rtl w:val="0"/>
              </w:rPr>
              <w:t xml:space="preserve">Студијски програм: Управљање културним туризмом и културним наслеђем</w:t>
            </w:r>
          </w:p>
        </w:tc>
      </w:tr>
      <w:tr>
        <w:trPr>
          <w:cantSplit w:val="0"/>
          <w:tblHeader w:val="0"/>
        </w:trPr>
        <w:tc>
          <w:tcPr/>
          <w:p w:rsidR="00000000" w:rsidDel="00000000" w:rsidP="00000000" w:rsidRDefault="00000000" w:rsidRPr="00000000" w14:paraId="00000003">
            <w:pPr>
              <w:rPr>
                <w:b w:val="1"/>
                <w:sz w:val="24"/>
                <w:szCs w:val="24"/>
              </w:rPr>
            </w:pPr>
            <w:r w:rsidDel="00000000" w:rsidR="00000000" w:rsidRPr="00000000">
              <w:rPr>
                <w:b w:val="1"/>
                <w:sz w:val="24"/>
                <w:szCs w:val="24"/>
                <w:rtl w:val="0"/>
              </w:rPr>
              <w:t xml:space="preserve">Назив предмета: Завршни – мастер рад  (МКТ100)</w:t>
            </w:r>
          </w:p>
        </w:tc>
      </w:tr>
      <w:tr>
        <w:trPr>
          <w:cantSplit w:val="0"/>
          <w:tblHeader w:val="0"/>
        </w:trPr>
        <w:tc>
          <w:tcPr/>
          <w:p w:rsidR="00000000" w:rsidDel="00000000" w:rsidP="00000000" w:rsidRDefault="00000000" w:rsidRPr="00000000" w14:paraId="00000004">
            <w:pPr>
              <w:jc w:val="both"/>
              <w:rPr>
                <w:sz w:val="24"/>
                <w:szCs w:val="24"/>
              </w:rPr>
            </w:pPr>
            <w:r w:rsidDel="00000000" w:rsidR="00000000" w:rsidRPr="00000000">
              <w:rPr>
                <w:b w:val="1"/>
                <w:sz w:val="24"/>
                <w:szCs w:val="24"/>
                <w:rtl w:val="0"/>
              </w:rPr>
              <w:t xml:space="preserve">Наставници задужени за реализацију Завршног - мастер рада (МТК100) студената:</w:t>
            </w:r>
            <w:r w:rsidDel="00000000" w:rsidR="00000000" w:rsidRPr="00000000">
              <w:rPr>
                <w:sz w:val="24"/>
                <w:szCs w:val="24"/>
                <w:rtl w:val="0"/>
              </w:rPr>
              <w:t xml:space="preserve"> </w:t>
            </w:r>
          </w:p>
          <w:p w:rsidR="00000000" w:rsidDel="00000000" w:rsidP="00000000" w:rsidRDefault="00000000" w:rsidRPr="00000000" w14:paraId="00000005">
            <w:pPr>
              <w:jc w:val="both"/>
              <w:rPr>
                <w:b w:val="1"/>
                <w:sz w:val="24"/>
                <w:szCs w:val="24"/>
              </w:rPr>
            </w:pPr>
            <w:r w:rsidDel="00000000" w:rsidR="00000000" w:rsidRPr="00000000">
              <w:rPr>
                <w:sz w:val="24"/>
                <w:szCs w:val="24"/>
                <w:rtl w:val="0"/>
              </w:rPr>
              <w:t xml:space="preserve">др Татјана  Пивац,  др Мирослав Вујичић, др Ђорђије Васиљевић,  др Игор Стаменковић, др Сања Божић, др Тамара Јовановић, др Александра  Драгин, др Ивана Блешић, др Угљеша Станков, др Кристина Кошић,  др Снежана  Бесермењи, др Јасна Атанасковић. </w:t>
            </w:r>
            <w:r w:rsidDel="00000000" w:rsidR="00000000" w:rsidRPr="00000000">
              <w:rPr>
                <w:rtl w:val="0"/>
              </w:rPr>
            </w:r>
          </w:p>
        </w:tc>
      </w:tr>
      <w:tr>
        <w:trPr>
          <w:cantSplit w:val="0"/>
          <w:tblHeader w:val="0"/>
        </w:trPr>
        <w:tc>
          <w:tcPr/>
          <w:p w:rsidR="00000000" w:rsidDel="00000000" w:rsidP="00000000" w:rsidRDefault="00000000" w:rsidRPr="00000000" w14:paraId="00000006">
            <w:pPr>
              <w:rPr>
                <w:b w:val="1"/>
                <w:sz w:val="24"/>
                <w:szCs w:val="24"/>
              </w:rPr>
            </w:pPr>
            <w:r w:rsidDel="00000000" w:rsidR="00000000" w:rsidRPr="00000000">
              <w:rPr>
                <w:b w:val="1"/>
                <w:sz w:val="24"/>
                <w:szCs w:val="24"/>
                <w:rtl w:val="0"/>
              </w:rPr>
              <w:t xml:space="preserve">Број ЕСПБ: 20</w:t>
            </w:r>
          </w:p>
        </w:tc>
      </w:tr>
      <w:tr>
        <w:trPr>
          <w:cantSplit w:val="0"/>
          <w:tblHeader w:val="0"/>
        </w:trPr>
        <w:tc>
          <w:tcPr/>
          <w:p w:rsidR="00000000" w:rsidDel="00000000" w:rsidP="00000000" w:rsidRDefault="00000000" w:rsidRPr="00000000" w14:paraId="00000007">
            <w:pPr>
              <w:rPr>
                <w:sz w:val="24"/>
                <w:szCs w:val="24"/>
              </w:rPr>
            </w:pPr>
            <w:r w:rsidDel="00000000" w:rsidR="00000000" w:rsidRPr="00000000">
              <w:rPr>
                <w:sz w:val="24"/>
                <w:szCs w:val="24"/>
                <w:rtl w:val="0"/>
              </w:rPr>
              <w:t xml:space="preserve">Услов: положени сви испити који су предвиђени на датом студијском програму</w:t>
            </w:r>
          </w:p>
        </w:tc>
      </w:tr>
      <w:tr>
        <w:trPr>
          <w:cantSplit w:val="0"/>
          <w:tblHeader w:val="0"/>
        </w:trPr>
        <w:tc>
          <w:tcPr/>
          <w:p w:rsidR="00000000" w:rsidDel="00000000" w:rsidP="00000000" w:rsidRDefault="00000000" w:rsidRPr="00000000" w14:paraId="00000008">
            <w:pPr>
              <w:rPr>
                <w:b w:val="1"/>
                <w:sz w:val="24"/>
                <w:szCs w:val="24"/>
              </w:rPr>
            </w:pPr>
            <w:r w:rsidDel="00000000" w:rsidR="00000000" w:rsidRPr="00000000">
              <w:rPr>
                <w:b w:val="1"/>
                <w:sz w:val="24"/>
                <w:szCs w:val="24"/>
                <w:rtl w:val="0"/>
              </w:rPr>
              <w:t xml:space="preserve">Циљеви завршног рада: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Истраживање, анализа и приказ резултата везаних за одређени сегмент културног туризма и културног наслеђа. Коришћење одговарајуће методологије и стила писања у складу са тематиком самог завршног рада.</w:t>
            </w:r>
            <w:r w:rsidDel="00000000" w:rsidR="00000000" w:rsidRPr="00000000">
              <w:rPr>
                <w:rtl w:val="0"/>
              </w:rPr>
            </w:r>
          </w:p>
        </w:tc>
      </w:tr>
      <w:tr>
        <w:trPr>
          <w:cantSplit w:val="0"/>
          <w:tblHeader w:val="0"/>
        </w:trPr>
        <w:tc>
          <w:tcPr/>
          <w:p w:rsidR="00000000" w:rsidDel="00000000" w:rsidP="00000000" w:rsidRDefault="00000000" w:rsidRPr="00000000" w14:paraId="0000000A">
            <w:pPr>
              <w:rPr>
                <w:b w:val="1"/>
                <w:sz w:val="24"/>
                <w:szCs w:val="24"/>
              </w:rPr>
            </w:pPr>
            <w:r w:rsidDel="00000000" w:rsidR="00000000" w:rsidRPr="00000000">
              <w:rPr>
                <w:b w:val="1"/>
                <w:sz w:val="24"/>
                <w:szCs w:val="24"/>
                <w:rtl w:val="0"/>
              </w:rPr>
              <w:t xml:space="preserve">Очекивани исходи: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Исход предмета представљало би добијање оргиналног научног рада, чији резултати треба да дају одређени допринос у каснијим детаљнијим и озбиљнијим истраживањима дате научне дисциплине.</w:t>
            </w:r>
          </w:p>
          <w:p w:rsidR="00000000" w:rsidDel="00000000" w:rsidP="00000000" w:rsidRDefault="00000000" w:rsidRPr="00000000" w14:paraId="0000000C">
            <w:pPr>
              <w:rPr>
                <w:sz w:val="24"/>
                <w:szCs w:val="24"/>
              </w:rPr>
            </w:pPr>
            <w:r w:rsidDel="00000000" w:rsidR="00000000" w:rsidRPr="00000000">
              <w:rPr>
                <w:sz w:val="24"/>
                <w:szCs w:val="24"/>
                <w:rtl w:val="0"/>
              </w:rPr>
              <w:t xml:space="preserve">Оспособљавање свршеног мастер студента за рад у свим секторима повезаним са културним туризмом и културним наслеђем.</w:t>
            </w:r>
          </w:p>
        </w:tc>
      </w:tr>
      <w:tr>
        <w:trPr>
          <w:cantSplit w:val="0"/>
          <w:tblHeader w:val="0"/>
        </w:trPr>
        <w:tc>
          <w:tcPr/>
          <w:p w:rsidR="00000000" w:rsidDel="00000000" w:rsidP="00000000" w:rsidRDefault="00000000" w:rsidRPr="00000000" w14:paraId="0000000D">
            <w:pPr>
              <w:rPr>
                <w:b w:val="1"/>
                <w:sz w:val="24"/>
                <w:szCs w:val="24"/>
              </w:rPr>
            </w:pPr>
            <w:r w:rsidDel="00000000" w:rsidR="00000000" w:rsidRPr="00000000">
              <w:rPr>
                <w:b w:val="1"/>
                <w:sz w:val="24"/>
                <w:szCs w:val="24"/>
                <w:rtl w:val="0"/>
              </w:rPr>
              <w:t xml:space="preserve">Општи садржаји:</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Завршни – мастер рад представља истраживачки рад студента у коме се он упознаје са методологијом истраживања у области  културног туризма. Након обављеног истраживања студент припрема завршни - мастер рад у форми која садржи следећа поглавља: Увод, Теоријски део, Експериментални део, резултати и дискусија, Закључак, Преглед литературе.</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Теме и садржај завршних – мастер радова који би се израђивали и бранили у оквиру студијског програма Мастер  Mенаџмент културног туризма и културног наслеђа, могли би да обухватају више научних дисциплина: културни туризам и културно наслеђе, економски показатељи у културном туризму, менаџмент културног туризма, примена информационих технологија у културном туризму, маркетинг и брендирање културног туризма и културних догађаја, управљање догађајима у културном туризму, развој културног производа, интеркултурална комуникација као и пројектни менаџмент у културном туризму. </w:t>
            </w:r>
          </w:p>
        </w:tc>
      </w:tr>
      <w:tr>
        <w:trPr>
          <w:cantSplit w:val="0"/>
          <w:tblHeader w:val="0"/>
        </w:trPr>
        <w:tc>
          <w:tcPr/>
          <w:p w:rsidR="00000000" w:rsidDel="00000000" w:rsidP="00000000" w:rsidRDefault="00000000" w:rsidRPr="00000000" w14:paraId="00000010">
            <w:pPr>
              <w:rPr>
                <w:b w:val="1"/>
                <w:sz w:val="24"/>
                <w:szCs w:val="24"/>
              </w:rPr>
            </w:pPr>
            <w:r w:rsidDel="00000000" w:rsidR="00000000" w:rsidRPr="00000000">
              <w:rPr>
                <w:b w:val="1"/>
                <w:sz w:val="24"/>
                <w:szCs w:val="24"/>
                <w:rtl w:val="0"/>
              </w:rPr>
              <w:t xml:space="preserve">Методе извођења: </w:t>
            </w:r>
          </w:p>
          <w:p w:rsidR="00000000" w:rsidDel="00000000" w:rsidP="00000000" w:rsidRDefault="00000000" w:rsidRPr="00000000" w14:paraId="00000011">
            <w:pPr>
              <w:rPr>
                <w:b w:val="1"/>
                <w:sz w:val="24"/>
                <w:szCs w:val="24"/>
              </w:rPr>
            </w:pPr>
            <w:r w:rsidDel="00000000" w:rsidR="00000000" w:rsidRPr="00000000">
              <w:rPr>
                <w:color w:val="000000"/>
                <w:sz w:val="24"/>
                <w:szCs w:val="24"/>
                <w:rtl w:val="0"/>
              </w:rPr>
              <w:t xml:space="preserve">Обавезна усмена одбрана Завршног - мастер рада пред званично одређеном комисијом.</w:t>
            </w:r>
            <w:r w:rsidDel="00000000" w:rsidR="00000000" w:rsidRPr="00000000">
              <w:rPr>
                <w:rtl w:val="0"/>
              </w:rPr>
            </w:r>
          </w:p>
        </w:tc>
      </w:tr>
      <w:tr>
        <w:trPr>
          <w:cantSplit w:val="0"/>
          <w:tblHeader w:val="0"/>
        </w:trPr>
        <w:tc>
          <w:tcPr/>
          <w:p w:rsidR="00000000" w:rsidDel="00000000" w:rsidP="00000000" w:rsidRDefault="00000000" w:rsidRPr="00000000" w14:paraId="00000012">
            <w:pPr>
              <w:rPr>
                <w:b w:val="1"/>
                <w:sz w:val="24"/>
                <w:szCs w:val="24"/>
              </w:rPr>
            </w:pPr>
            <w:r w:rsidDel="00000000" w:rsidR="00000000" w:rsidRPr="00000000">
              <w:rPr>
                <w:b w:val="1"/>
                <w:sz w:val="24"/>
                <w:szCs w:val="24"/>
                <w:rtl w:val="0"/>
              </w:rPr>
              <w:t xml:space="preserve">Оцена  знања: максимални број поена 100</w:t>
            </w:r>
          </w:p>
        </w:tc>
      </w:tr>
    </w:tbl>
    <w:p w:rsidR="00000000" w:rsidDel="00000000" w:rsidP="00000000" w:rsidRDefault="00000000" w:rsidRPr="00000000" w14:paraId="00000013">
      <w:pPr>
        <w:rPr>
          <w:sz w:val="24"/>
          <w:szCs w:val="24"/>
        </w:rPr>
      </w:pPr>
      <w:r w:rsidDel="00000000" w:rsidR="00000000" w:rsidRPr="00000000">
        <w:rPr>
          <w:rtl w:val="0"/>
        </w:rPr>
      </w:r>
    </w:p>
    <w:sectPr>
      <w:pgSz w:h="16840" w:w="11907" w:orient="portrait"/>
      <w:pgMar w:bottom="1134" w:top="1134"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ru-RU"/>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