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Мастер академске студије</w:t>
            </w:r>
            <w:r w:rsidDel="00000000" w:rsidR="00000000" w:rsidRPr="00000000">
              <w:rPr>
                <w:b w:val="1"/>
                <w:rtl w:val="0"/>
              </w:rPr>
              <w:t xml:space="preserve"> у</w:t>
            </w:r>
            <w:r w:rsidDel="00000000" w:rsidR="00000000" w:rsidRPr="00000000">
              <w:rPr>
                <w:color w:val="000000"/>
                <w:rtl w:val="0"/>
              </w:rPr>
              <w:t xml:space="preserve">прављање културним туризмом и културним наслеђем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Интеркултурална комуникација (МКТ106)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Александра С. Драгин, др Сања Божић, др Тамара Јовановић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 предмет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Упознавање се комуниколошким аспектима  туризма, односно  анализа туризма као облика глобалне  интеркултурне  и интерперсоналне комуникације.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Циљ је и упознавање са специфичностима у комуникацији појединих народа (култура), како би се адекватније припремили за туристичко тржиште.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Разумевање суштине интеркултуралне комуникације и њених специфичности. Овладавање теоријом комуникације, као и вештинама интерперсоналне и интеркултурне комуникације у туризму. Стицање знања из модела димензија националних култура у контексту туристичког тржишта, пре свега обликовања понуде.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је конципиран тако да на што апликативнији начин представи различите теме из области интеркултуралне комуникације. Tреба студенте да уведе у процесе комуникације представљањем проблематике усмене и писане вербалне комуникације, затим паралингвистичке и екстралингвистичке комуникације (као форме невербалне комуникација) и коначно да се размотре манипулација, те пасивна, агресивна, асертивна комуникација као и остали видови комуникације. Све то уводи студенте у културу комуникације.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Култура, као људски продукт, разматра се од првог поглавља, где су дефинисане варијабле и на који начин се манифестују културне разлике. Одређене наставне јединице су посвећене тематици димензије националних култура и због њих насталих специфичности појединих народа у комуникацији.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Идентификовање различитих стилова комуникације у односу на припадност одређеној националној култури. Вежбање ефикасне примене различитих стилова комуникације у организационом окружењу. „World cafe“ и друге радионице на тему интеркултуралне комуникације. Израда семинарског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rPr/>
            </w:pPr>
            <w:r w:rsidDel="00000000" w:rsidR="00000000" w:rsidRPr="00000000">
              <w:rPr>
                <w:rtl w:val="0"/>
              </w:rPr>
              <w:t xml:space="preserve">Драгин, А. (2015): Култура и комуникација. Природно-математички факултет – Департман за географију, туризам и хотелијерство, Нови Сад (уџбеник).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Pizam, A. (1999): Cross-cultural Tourist Behavior. In Consumer Behavior in Travel andTourism, A. Pizam and Y. Mansfeld, eds., pp. 393–412. New York: HaworthHospitality Press.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Reisinger, Y., and L. Turner (2003): Cross-Cultural Behaviour in Tourism: Concepts and Analysis. Oxford:Butterworth-Heinemann.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Schwartz, S. H. (1992): Universals in the content and structure of values: Theoretical advances and empirical tests in 20 cultures. In M.P. Zanna (Ed.). Advances in experimental social psychology(Vol 25, pp 1-65). San Diego, CA: Academic Press.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Hofstede, G., Hofstede, G. J., Minkov, M. (2010): </w:t>
            </w:r>
            <w:r w:rsidDel="00000000" w:rsidR="00000000" w:rsidRPr="00000000">
              <w:rPr>
                <w:i w:val="1"/>
                <w:rtl w:val="0"/>
              </w:rPr>
              <w:t xml:space="preserve">Cultures and Organizations - Software of the mind: Intercultural Cooperation and Its Importance for Survival.</w:t>
            </w:r>
            <w:r w:rsidDel="00000000" w:rsidR="00000000" w:rsidRPr="00000000">
              <w:rPr>
                <w:rtl w:val="0"/>
              </w:rPr>
              <w:t xml:space="preserve"> The McGraw-Hill Companies, Inc.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House, R. J., P. Hanges, M. Javidan, P. W. Dorfman, and V. Gupta, ed. (2004): Culture, Leadership, and Organizations: The GLOBE Study of 62 Societies. Thousand Oaks,CA: Sage.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Ivkov M., </w:t>
            </w:r>
            <w:r w:rsidDel="00000000" w:rsidR="00000000" w:rsidRPr="00000000">
              <w:rPr>
                <w:b w:val="1"/>
                <w:rtl w:val="0"/>
              </w:rPr>
              <w:t xml:space="preserve">Božić S.</w:t>
            </w:r>
            <w:r w:rsidDel="00000000" w:rsidR="00000000" w:rsidRPr="00000000">
              <w:rPr>
                <w:rtl w:val="0"/>
              </w:rPr>
              <w:t xml:space="preserve"> and Blešić I. (2017): The effect of service staff’s verbalized hospitality towards group diner’s additional purchases and tipping behavior. Scandinavian journal of hospitality and tourism, doi: https://doi.org/10.1080/15022250.2017.1415168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Jovanović T., </w:t>
            </w:r>
            <w:r w:rsidDel="00000000" w:rsidR="00000000" w:rsidRPr="00000000">
              <w:rPr>
                <w:b w:val="1"/>
                <w:rtl w:val="0"/>
              </w:rPr>
              <w:t xml:space="preserve">Božić S.,</w:t>
            </w:r>
            <w:r w:rsidDel="00000000" w:rsidR="00000000" w:rsidRPr="00000000">
              <w:rPr>
                <w:rtl w:val="0"/>
              </w:rPr>
              <w:t xml:space="preserve"> Dinić B., Majstorović N. (2017): Serbian adaptation of the Brand Personality Scale (BPS): an application to tourism destinations. Primenjena Psihologija, 10 (1), 37-61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tabs>
                <w:tab w:val="left" w:leader="none" w:pos="601"/>
              </w:tabs>
              <w:ind w:left="601" w:hanging="24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Bodroža, B., Jovanović, T. (2016): Validation of the new scale for measuring behaviors of Facebook users: Psycho-Social Aspects of Facebook Use (PSAFU). Computers in Human Behavior, 54, 425-435.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ind w:right="-8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акт. наставе: </w:t>
            </w:r>
            <w:r w:rsidDel="00000000" w:rsidR="00000000" w:rsidRPr="00000000">
              <w:rPr>
                <w:rtl w:val="0"/>
              </w:rPr>
              <w:t xml:space="preserve">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Илустративно-демонстративне методе (интерактивно учење у проблемској настави, интерактивно учење путем открића, активна настава, интерактивна настава различитих нивоа сложености, интерактивно учење симетричном интеракцијом, кооперативно учење у интерактивној настави итд.).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