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 : </w:t>
            </w:r>
            <w:r w:rsidDel="00000000" w:rsidR="00000000" w:rsidRPr="00000000">
              <w:rPr>
                <w:color w:val="000000"/>
                <w:rtl w:val="0"/>
              </w:rPr>
              <w:t xml:space="preserve">Мастер академске студије упрваљање културним туризмом и културним наслеђем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Развој производа и стратегије брендирања (МКТ104)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Кристина Кошић, др Мирослав Вујичић, др Сања Божић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Циљ предмета је да омогући студентима да се упознају са различитим начинима управљања туризмом у туристичким дестинацијама, процесом обликовања и развоја туристичких производа као и креирања туристичког искуства. Циљ је образовати и оспособити студенте за креирање туристичког производа, креирање искуства, ефективну комуникацију туристичких садржаја на тржишту и развој стратегије брендирања туристичких производа. Све израженија конкуренција на светском туристичком тржишту захтева добро упућен и оспособљен кадар за креирање туристичких производа, промоцију и презентацију туристичке дестинације, како би се успоставила конкурентска предност.На већем броју студија случаја биће уочени и позитивни и негативни примери развоја појединих туристичких производа како би се указало на важност доношења одлука везаних за развој туризма у дестинацији.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Савладавање основних теоретских знања из домена креирања туристичког производа, управљања туристичким дестинацијама, креирања брендинг стратегија као и стицање практичних знања и вештина које ће омогућити успешно савладавање процеса развоја идеје до конкретног туристичког производа.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Појам туристичке дестинације и културног туристичког производа;Процес управљања туристичком дестинацијом;Конкурентност туристичке дестинације;Сарадња и партнерства субјеката у туризму; Фактори који чине културни туристички производ;Категорије културног туристичког производа; Фазе формирања културног туристичког производа; Упаривање културног туристичког производа са туристичким тржиштем; Дефинисање и разрада основних принципа система менаџмента квалитета; Сертификација система менаџмента квалитета; Методе интерне и екстерне контроле квалитета туристичког производа; Анализа задовољства потрошача квалитетом туристичког производа; Методе и технике унапређења квалитета туристичког производа; Стратегија сегментације туристичког тржишта и профилисање потрошача; Креирање туристичког искуства; Значај причања приче у културном туризму; Стратегије брендирања у културном туризму; Маркетинг културног туристичког производа.</w:t>
            </w:r>
          </w:p>
          <w:p w:rsidR="00000000" w:rsidDel="00000000" w:rsidP="00000000" w:rsidRDefault="00000000" w:rsidRPr="00000000" w14:paraId="0000002F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настава: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Пројектни задаци који се односе на развој конкретних туристичких производа у културном туризму и осмишљавање стратегије брендирања датих производа.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Кошић, К. (2013): Менаџмент туристичке дестинације, скрипта. стр. 1-141. ПМФ, Нови Сад.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UNWTO (2007): A Practical Guide to Tourism Destination Management. World Tourism Organization, Madrid, Spain. ISBN: 978-92-844-1243-3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ETC (2011): Handbook on tourism product development. European travel Comission.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jc w:val="both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Божић С. (2016): Утицај личности туристе на бренд дестинације и туристичко понашање на примеру локалитета културне руте, (докторска дисертација), Департман за географију, туризам и хотелијерство, ПМФ, Нови Сад.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Блешић И. (2017): Менаџмент квалитета у туризму и хотелијерству. Департман за географију, туризам и хотелијерство, Природно-математички факултет, Универзитет у Новом Саду.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  <w:r w:rsidDel="00000000" w:rsidR="00000000" w:rsidRPr="00000000">
              <w:rPr>
                <w:rtl w:val="0"/>
              </w:rPr>
              <w:t xml:space="preserve"> 4 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tl w:val="0"/>
              </w:rPr>
              <w:t xml:space="preserve"> 2 (30)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2 (30)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Метода усменог излагања, метода разговора, текстуална метода, илустративно-демонстративна метода уз коришћење компјутера и видео пројектора.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15-30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