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269"/>
        <w:gridCol w:w="997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631"/>
            <w:gridCol w:w="269"/>
            <w:gridCol w:w="997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Снежана Бесермењи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од 1998.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0"/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2011.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1999.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Географија - 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1994.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Географски факултет, Београд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2005.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0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Увод у географију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Увод у 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Друштвене основе туризма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Фактори развоја градског туризма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Менаџмент културног наслеђа и културног туризма (МКТ101)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0"/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C2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Božić, S., Vujičić, M. D., Kennell, J.,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Besermenji, S.,</w:t>
            </w:r>
            <w:r w:rsidDel="00000000" w:rsidR="00000000" w:rsidRPr="00000000">
              <w:rPr>
                <w:vertAlign w:val="baseline"/>
                <w:rtl w:val="0"/>
              </w:rPr>
              <w:t xml:space="preserve"> &amp; Solarević, M. (2018). Sun, sea and shrines: Application of analytic hierarchy process (AHP) to assess the attractiveness of six cultural heritage sites in Phuket: Thailand.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Geographica Pannonica</w:t>
            </w:r>
            <w:r w:rsidDel="00000000" w:rsidR="00000000" w:rsidRPr="00000000">
              <w:rPr>
                <w:vertAlign w:val="baseline"/>
                <w:rtl w:val="0"/>
              </w:rPr>
              <w:t xml:space="preserve">, 22(2), 121-138.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CC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Snežana Besermenji,</w:t>
            </w:r>
            <w:r w:rsidDel="00000000" w:rsidR="00000000" w:rsidRPr="00000000">
              <w:rPr>
                <w:vertAlign w:val="baseline"/>
                <w:rtl w:val="0"/>
              </w:rPr>
              <w:t xml:space="preserve"> Ivana Blešić (2016): Mузика војвођанских Хрвата у функцији очувања националног идентитета. Култура полиса, број 32, година VIII, страна 617-624.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D6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Ćopić, S., ĐorđevićA, J., Lukić, T., Stojanović, V., Đukičin, S., </w:t>
            </w:r>
            <w:r w:rsidDel="00000000" w:rsidR="00000000" w:rsidRPr="00000000">
              <w:rPr>
                <w:b w:val="1"/>
                <w:shd w:fill="f8f8f8" w:val="clear"/>
                <w:vertAlign w:val="baseline"/>
                <w:rtl w:val="0"/>
              </w:rPr>
              <w:t xml:space="preserve">Besermenji, S.,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 ... &amp; Tumarić, A. (2014). Transformation of industrial heritage: An example of tourism industry development in the Ruhr area (Germany).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Geographica Pannonica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(2), 43-50.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E0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Pivac, T., Blešić, I., Kovačić, S., </w:t>
            </w:r>
            <w:r w:rsidDel="00000000" w:rsidR="00000000" w:rsidRPr="00000000">
              <w:rPr>
                <w:b w:val="1"/>
                <w:shd w:fill="f8f8f8" w:val="clear"/>
                <w:vertAlign w:val="baseline"/>
                <w:rtl w:val="0"/>
              </w:rPr>
              <w:t xml:space="preserve">Besermenji, S.,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 &amp; Lesjak, M. (2019). Visitors’satisfaction, perceived quality, and behavioral intentions: the case study of Exit festival.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Journal of the Geographical Institute “Jovan Cvijić” SASA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69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(2), 123-134.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8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E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Besermenji, S., Pivac, T. (2015): Римокатоличке цркве Хрвата у Војводиниa, Култура полиса, 12 (28), страна 455-462, ISSN: 1820-4589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2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hyperlink r:id="rId6">
              <w:r w:rsidDel="00000000" w:rsidR="00000000" w:rsidRPr="00000000">
                <w:rPr>
                  <w:color w:val="000000"/>
                  <w:u w:val="none"/>
                  <w:vertAlign w:val="baseline"/>
                  <w:rtl w:val="0"/>
                </w:rPr>
                <w:t xml:space="preserve">Dragicevic Vanja, 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b w:val="1"/>
                  <w:color w:val="000000"/>
                  <w:u w:val="none"/>
                  <w:vertAlign w:val="baseline"/>
                  <w:rtl w:val="0"/>
                </w:rPr>
                <w:t xml:space="preserve">Besermenji Snezana,</w:t>
              </w:r>
            </w:hyperlink>
            <w:hyperlink r:id="rId8">
              <w:r w:rsidDel="00000000" w:rsidR="00000000" w:rsidRPr="00000000">
                <w:rPr>
                  <w:color w:val="000000"/>
                  <w:u w:val="none"/>
                  <w:vertAlign w:val="baseline"/>
                  <w:rtl w:val="0"/>
                </w:rPr>
                <w:t xml:space="preserve"> </w:t>
              </w:r>
            </w:hyperlink>
            <w:hyperlink r:id="rId9">
              <w:r w:rsidDel="00000000" w:rsidR="00000000" w:rsidRPr="00000000">
                <w:rPr>
                  <w:color w:val="000000"/>
                  <w:u w:val="none"/>
                  <w:vertAlign w:val="baseline"/>
                  <w:rtl w:val="0"/>
                </w:rPr>
                <w:t xml:space="preserve">Pivac Tatjana, 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hyperlink r:id="rId10">
              <w:r w:rsidDel="00000000" w:rsidR="00000000" w:rsidRPr="00000000">
                <w:rPr>
                  <w:color w:val="000000"/>
                  <w:u w:val="none"/>
                  <w:vertAlign w:val="baseline"/>
                  <w:rtl w:val="0"/>
                </w:rPr>
                <w:t xml:space="preserve">Ivkov-Dzigurski Andelija,  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hyperlink r:id="rId11">
              <w:r w:rsidDel="00000000" w:rsidR="00000000" w:rsidRPr="00000000">
                <w:rPr>
                  <w:color w:val="000000"/>
                  <w:u w:val="none"/>
                  <w:vertAlign w:val="baseline"/>
                  <w:rtl w:val="0"/>
                </w:rPr>
                <w:t xml:space="preserve">Kosic Kristina(2013): </w:t>
              </w:r>
            </w:hyperlink>
            <w:hyperlink r:id="rId12">
              <w:r w:rsidDel="00000000" w:rsidR="00000000" w:rsidRPr="00000000">
                <w:rPr>
                  <w:vertAlign w:val="baseline"/>
                  <w:rtl w:val="0"/>
                </w:rPr>
                <w:t xml:space="preserve">Evaluation of tourist attractiveness and museum management in Sombor and Apatin (Serbia) (Article). Acta Geographica Slovenica 53 (2), pp. 404.413. </w:t>
              </w:r>
            </w:hyperlink>
            <w:hyperlink r:id="rId13">
              <w:r w:rsidDel="00000000" w:rsidR="00000000" w:rsidRPr="00000000">
                <w:rPr>
                  <w:color w:val="000000"/>
                  <w:u w:val="none"/>
                  <w:vertAlign w:val="baseline"/>
                  <w:rtl w:val="0"/>
                </w:rPr>
                <w:t xml:space="preserve"> 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C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Blešić, I., Pivac, T., </w:t>
            </w:r>
            <w:r w:rsidDel="00000000" w:rsidR="00000000" w:rsidRPr="00000000">
              <w:rPr>
                <w:b w:val="1"/>
                <w:shd w:fill="f8f8f8" w:val="clear"/>
                <w:vertAlign w:val="baseline"/>
                <w:rtl w:val="0"/>
              </w:rPr>
              <w:t xml:space="preserve">Besermenji, S.,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 Ivkov-Džigurski, A., &amp; Košić, K. (2014). Residents’ attitudes and perception towards tourism development: a case study of rural tourism in dragacevo, serbia.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Eastern European Countryside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shd w:fill="f8f8f8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shd w:fill="f8f8f8" w:val="clear"/>
                <w:vertAlign w:val="baseline"/>
                <w:rtl w:val="0"/>
              </w:rPr>
              <w:t xml:space="preserve">(1), 151-165.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0"/>
            <w:shd w:fill="d9d9d9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17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 </w:t>
            </w:r>
          </w:p>
        </w:tc>
      </w:tr>
    </w:tbl>
    <w:p w:rsidR="00000000" w:rsidDel="00000000" w:rsidP="00000000" w:rsidRDefault="00000000" w:rsidRPr="00000000" w14:paraId="0000012E">
      <w:pPr>
        <w:rPr>
          <w:i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568" w:top="1080" w:left="1138" w:right="113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kobson.nb.rs/nauka_u_srbiji.132.html?autor=Kosic%20Kristina" TargetMode="External"/><Relationship Id="rId10" Type="http://schemas.openxmlformats.org/officeDocument/2006/relationships/hyperlink" Target="http://kobson.nb.rs/nauka_u_srbiji.132.html?autor=Ivkov-Dzigurski%20Andelija%20C" TargetMode="External"/><Relationship Id="rId13" Type="http://schemas.openxmlformats.org/officeDocument/2006/relationships/hyperlink" Target="http://kobson.nb.rs/nauka_u_srbiji.132.html?autor=Kosic%20Kristina" TargetMode="External"/><Relationship Id="rId12" Type="http://schemas.openxmlformats.org/officeDocument/2006/relationships/hyperlink" Target="http://kobson.nb.rs/nauka_u_srbiji.132.html?autor=Kosic%20Kristin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kobson.nb.rs/nauka_u_srbiji.132.html?autor=Pivac%20Tatjana%20D" TargetMode="External"/><Relationship Id="rId5" Type="http://schemas.openxmlformats.org/officeDocument/2006/relationships/styles" Target="styles.xml"/><Relationship Id="rId6" Type="http://schemas.openxmlformats.org/officeDocument/2006/relationships/hyperlink" Target="http://kobson.nb.rs/nauka_u_srbiji.132.html?autor=Dragicevic%20Vanja" TargetMode="External"/><Relationship Id="rId7" Type="http://schemas.openxmlformats.org/officeDocument/2006/relationships/hyperlink" Target="http://kobson.nb.rs/nauka_u_srbiji.132.html?autor=Besermenji%20Snezana%20V" TargetMode="External"/><Relationship Id="rId8" Type="http://schemas.openxmlformats.org/officeDocument/2006/relationships/hyperlink" Target="http://kobson.nb.rs/nauka_u_srbiji.132.html?autor=Besermenji%20Snezana%20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