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3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31"/>
        <w:gridCol w:w="220"/>
        <w:gridCol w:w="709"/>
        <w:gridCol w:w="194"/>
        <w:gridCol w:w="972"/>
        <w:gridCol w:w="1289"/>
        <w:gridCol w:w="96"/>
        <w:gridCol w:w="709"/>
        <w:gridCol w:w="2268"/>
        <w:gridCol w:w="992"/>
        <w:gridCol w:w="1652"/>
        <w:tblGridChange w:id="0">
          <w:tblGrid>
            <w:gridCol w:w="631"/>
            <w:gridCol w:w="220"/>
            <w:gridCol w:w="709"/>
            <w:gridCol w:w="194"/>
            <w:gridCol w:w="972"/>
            <w:gridCol w:w="1289"/>
            <w:gridCol w:w="96"/>
            <w:gridCol w:w="709"/>
            <w:gridCol w:w="2268"/>
            <w:gridCol w:w="992"/>
            <w:gridCol w:w="1652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Име и презиме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Др Игор Љ. Стаменковић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институције у  којој наставник ради са 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Приридно-математички факултет, Департман за географију, туризам и хотелијерство, од 01.03.2005. године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Година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Институција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Област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22.01.2015.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Приридно-математички факултет, УНС,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02.07.2014.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Приридно-математички факултет, УНС,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17.05.2009.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Приридно-математички факултет, УНС,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Диплома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22.10.2004.</w:t>
            </w:r>
          </w:p>
        </w:tc>
        <w:tc>
          <w:tcPr>
            <w:gridSpan w:val="5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Приридно-математички факултет, УНС, Нови сад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Списак предмета које наставник држи у текућој школској години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Религијски туризам (Т344)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Дипломирани туризмолог, Основне академске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Основи управљања догађајима (MT216)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туризмолог, Мастер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Управљање специјалним догађајима (MT222)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туризмолог, Мастер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4.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Управљање догађајима у културном туризму (МКТ112)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студије у процесу акредитације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5.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Стручна пракса (МКТ105)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студије у процесу акредитације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D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top"/>
          </w:tcPr>
          <w:p w:rsidR="00000000" w:rsidDel="00000000" w:rsidP="00000000" w:rsidRDefault="00000000" w:rsidRPr="00000000" w14:paraId="000000BF">
            <w:pPr>
              <w:widowControl w:val="1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Стаменковић, И., 2006. Религиозни туризам и православље, Уџбеник, Департман за географију, туризам и хотелијерство, Природно-математички факултет, Нови Сад, 132.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8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top"/>
          </w:tcPr>
          <w:p w:rsidR="00000000" w:rsidDel="00000000" w:rsidP="00000000" w:rsidRDefault="00000000" w:rsidRPr="00000000" w14:paraId="000000CA">
            <w:pPr>
              <w:widowControl w:val="1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Стаменковић, И., 2014. Мулти-стејкхолдерски приступ ефективности организације догађаја као фактор успешности дестинацијског туристичког производа, Департман за географију, туризам и хотелијерство, ПМФ, Нови Сад.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3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top"/>
          </w:tcPr>
          <w:p w:rsidR="00000000" w:rsidDel="00000000" w:rsidP="00000000" w:rsidRDefault="00000000" w:rsidRPr="00000000" w14:paraId="000000D5">
            <w:pPr>
              <w:widowControl w:val="1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Пивац, Т., Стаменковић, И. 2011. Менаџмент догађаја, материјал за полагање испита.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E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top"/>
          </w:tcPr>
          <w:p w:rsidR="00000000" w:rsidDel="00000000" w:rsidP="00000000" w:rsidRDefault="00000000" w:rsidRPr="00000000" w14:paraId="000000E0">
            <w:pPr>
              <w:widowControl w:val="1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Blešić, I., Pivac, T., Đorđević, J., Stamenković, I., Janićević, S. 2014. Cultural Events as Part of Cultural Tourism Development. Case Study: Sombor and Apatin (Serbia). Acta geographica Slovenica, 54-2, pp. 381-390.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9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EB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Pivac, T., Blešić, I., Stamenković, I., Besermenji, S. 2011. Event management and consumer satisfaction in tourism industry, African Journal of Business Management, Vol. 5(34), pp. 13240-13248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4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F6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Blešić, I., Pivac, T., Đorđević, J., Stamenković, I., Janićević, S. 2014. Cultural Events as Part of Cultural Tourism Development. Case Study: Sombor and Apatin (Serbia), Acta geographica Slovenica, 54-2, doi: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10.3986/AGS54406, article in press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F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Stameković, I., Plavša, J., Vujičić, M. 2009. The New Age of faith tourism and Fruska Gora mountain (Serbia), International Scinetific Yournal “Turizam”,Volume 13, Issue 2, pp. 102-112. Deaptment of geography, tourism and hotel management, Novi Sad. ISSN 1450-6661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A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0C">
            <w:pPr>
              <w:widowControl w:val="1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Stamenković, I. &amp; Vujičić, M. 2014. Tourism assessment of roman-catholic sacral objects using analytical hierarchy process (ahp) – case study of Novi Sad, Petrovaradin and Sremska kamenica, Turizam – International Scientific Journal, Volume 19, Issue 4, pp. 185-202.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5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Stamenković, I, Blešić, I, Pivac, T, Ivkov Džigurski A. 2015. </w:t>
            </w:r>
            <w:r w:rsidDel="00000000" w:rsidR="00000000" w:rsidRPr="00000000">
              <w:rPr>
                <w:vertAlign w:val="baseline"/>
                <w:rtl w:val="0"/>
              </w:rPr>
              <w:t xml:space="preserve">Attitudes of Participants of Tourist Animation – Case Study: Thematic Events as A Practical Training (Novi Sad, Serbia), Turizam – International Scientific Journal, Volume 18, Issue 4, pp. 146-154.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0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22">
            <w:pPr>
              <w:widowControl w:val="1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Blešić, I., Pivac, T., Besermenji, S., Stamenković, I. (2011): Da li muzički festivali mogu biti povod i model za zbližavanje zaraćenih naroda na prostoru Ex-jugoslovenskih Republika (Primer: Sabor trubača u Guči)?, Tematski zbornik: Društveni odnosi Srba i Hrvata, nacionalni identitet i manjinska prava sa aspekta evropskih integracija, Sombor, Pedagoški fakultet, Simbol, Novi Sad, 230 strana, str.163-175.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Збирни подаци научне, односно уметничке и стручне активности наставника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36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Укупан број цитата                         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3C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SCOPUS – укупно 10, хетеро 4 цитата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1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Укупан број радова са СЦИ (ССЦИ) листе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C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Тренутно учешће на пројектима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52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Домаћи: 1 (до сада 2)  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55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Међународни: 1 (до сада 3)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57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Усавршавања: 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5B">
            <w:pPr>
              <w:widowControl w:val="1"/>
              <w:shd w:fill="ffffff" w:val="clear"/>
              <w:jc w:val="both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sz w:val="19"/>
                <w:szCs w:val="19"/>
                <w:vertAlign w:val="baseline"/>
                <w:rtl w:val="0"/>
              </w:rPr>
              <w:t xml:space="preserve">18</w:t>
            </w:r>
            <w:r w:rsidDel="00000000" w:rsidR="00000000" w:rsidRPr="00000000">
              <w:rPr>
                <w:sz w:val="19"/>
                <w:szCs w:val="19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sz w:val="19"/>
                <w:szCs w:val="19"/>
                <w:vertAlign w:val="baseline"/>
                <w:rtl w:val="0"/>
              </w:rPr>
              <w:t xml:space="preserve"> Postgraduate CEI International Summer School of Cervia on: </w:t>
            </w:r>
            <w:r w:rsidDel="00000000" w:rsidR="00000000" w:rsidRPr="00000000">
              <w:rPr>
                <w:i w:val="1"/>
                <w:sz w:val="19"/>
                <w:szCs w:val="19"/>
                <w:vertAlign w:val="baseline"/>
                <w:rtl w:val="0"/>
              </w:rPr>
              <w:t xml:space="preserve">“Beyond Enlargment. The Wider Europe and the New Neighbourhood” </w:t>
            </w:r>
            <w:r w:rsidDel="00000000" w:rsidR="00000000" w:rsidRPr="00000000">
              <w:rPr>
                <w:sz w:val="19"/>
                <w:szCs w:val="19"/>
                <w:vertAlign w:val="baseline"/>
                <w:rtl w:val="0"/>
              </w:rPr>
              <w:t xml:space="preserve">course on </w:t>
            </w:r>
            <w:r w:rsidDel="00000000" w:rsidR="00000000" w:rsidRPr="00000000">
              <w:rPr>
                <w:b w:val="1"/>
                <w:i w:val="1"/>
                <w:sz w:val="19"/>
                <w:szCs w:val="19"/>
                <w:vertAlign w:val="baseline"/>
                <w:rtl w:val="0"/>
              </w:rPr>
              <w:t xml:space="preserve">“Sustainable Development, Green Economy and the Role of Civil Society Networks”</w:t>
            </w:r>
            <w:r w:rsidDel="00000000" w:rsidR="00000000" w:rsidRPr="00000000">
              <w:rPr>
                <w:sz w:val="19"/>
                <w:szCs w:val="19"/>
                <w:vertAlign w:val="baseline"/>
                <w:rtl w:val="0"/>
              </w:rPr>
              <w:t xml:space="preserve">, University of Bologna, School of Political Science “Roberto Ruffilli”, Forli Campus and the Istituto per l’Europa Centro Orientale e Balanica – 1-15/9/2012.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Други подаци које сматрате релевантним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Serbian – Slovenian bilateral project proposal for period 2014-2015, Title: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„DEVELOPING TOURISM CLIMATE INDEX (TCI) IN SERBIAN AND SLOVENIAN TOURISTIC DESTINATIONS – CONNECTION BETWEEN CLIMATE AND TOURISM”,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 Faculty of Science and Research centre of the Slovenian Academy of Sciences and Arts, Anton Melik Geographical Institute. Član Operativnog tima u izradi koncepta nastupa u oblasti nacionalne gastronomije i turizma projekta: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„EXPO MILANO 2015“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, prema odluci Vlade Republike Srbije br. 390-3637/2013 (30.04.2013) i Generalnog komesara Republike Srbije br. 119-01-132/2013-02 (28.06.2013).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D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794" w:top="79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