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31"/>
        <w:gridCol w:w="269"/>
        <w:gridCol w:w="854"/>
        <w:gridCol w:w="143"/>
        <w:gridCol w:w="1007"/>
        <w:gridCol w:w="952"/>
        <w:gridCol w:w="322"/>
        <w:gridCol w:w="1762"/>
        <w:gridCol w:w="162"/>
        <w:gridCol w:w="486"/>
        <w:gridCol w:w="2985"/>
        <w:tblGridChange w:id="0">
          <w:tblGrid>
            <w:gridCol w:w="631"/>
            <w:gridCol w:w="269"/>
            <w:gridCol w:w="854"/>
            <w:gridCol w:w="143"/>
            <w:gridCol w:w="1007"/>
            <w:gridCol w:w="952"/>
            <w:gridCol w:w="322"/>
            <w:gridCol w:w="1762"/>
            <w:gridCol w:w="162"/>
            <w:gridCol w:w="486"/>
            <w:gridCol w:w="2985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7"/>
            <w:shd w:fill="d9d9d9" w:val="clear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Име и презиме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09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Угљеша Станков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shd w:fill="d9d9d9" w:val="clear"/>
            <w:vAlign w:val="center"/>
          </w:tcPr>
          <w:p w:rsidR="00000000" w:rsidDel="00000000" w:rsidP="00000000" w:rsidRDefault="00000000" w:rsidRPr="00000000" w14:paraId="0000000D">
            <w:pPr>
              <w:tabs>
                <w:tab w:val="left" w:leader="none" w:pos="567"/>
              </w:tabs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Звање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4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Ванредни професор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shd w:fill="d9d9d9" w:val="clear"/>
            <w:vAlign w:val="center"/>
          </w:tcPr>
          <w:p w:rsidR="00000000" w:rsidDel="00000000" w:rsidP="00000000" w:rsidRDefault="00000000" w:rsidRPr="00000000" w14:paraId="00000018">
            <w:pPr>
              <w:tabs>
                <w:tab w:val="left" w:leader="none" w:pos="567"/>
              </w:tabs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Назив институције у којој наставник ради са пуним радним временом и од када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F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Природно-математички факултет, од 7.03.2011. године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tcBorders>
              <w:bottom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3">
            <w:pPr>
              <w:tabs>
                <w:tab w:val="left" w:leader="none" w:pos="567"/>
              </w:tabs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Ужа научна односно уметничка област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A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shd w:fill="d9d9d9" w:val="clear"/>
            <w:vAlign w:val="center"/>
          </w:tcPr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Академска каријера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39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Година 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Институција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Област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4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2016.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49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ПМФ, Нови Сад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2010.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ПМФ, Нови Сад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Специјализација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Магистратура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2009.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ПМФ, Нови Сад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Диплома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4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2005.</w:t>
            </w:r>
          </w:p>
        </w:tc>
        <w:tc>
          <w:tcPr>
            <w:gridSpan w:val="5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ПМФ, Нови Сад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A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Географија - туризам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shd w:fill="d9d9d9" w:val="clear"/>
            <w:vAlign w:val="center"/>
          </w:tcPr>
          <w:p w:rsidR="00000000" w:rsidDel="00000000" w:rsidP="00000000" w:rsidRDefault="00000000" w:rsidRPr="00000000" w14:paraId="0000007B">
            <w:pPr>
              <w:tabs>
                <w:tab w:val="left" w:leader="none" w:pos="567"/>
              </w:tabs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Списак предмета које наставник држи у текућој школској години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6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Р.Б.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87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назив предмета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8F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врста студија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1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1.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92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Информационе технологије у туризму (Т330)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9A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Основне академске студије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2.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9D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Основе ГИС-а (ДГ102)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A5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Основне академске студије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7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3.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A8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Електронско пословање у туризму (МТ226)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B0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Мастер студије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2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4.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B3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Примена ГИС-а у привреди и државној управи (МГИ511)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BB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Мастер студије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D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5.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E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Савремени трендови развоја геоинформатике (МГИ503)</w:t>
            </w:r>
          </w:p>
        </w:tc>
        <w:tc>
          <w:tcPr>
            <w:gridSpan w:val="2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Мастер студије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8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6.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9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Информационе технологије и системи у културном туризму (MKT102)</w:t>
            </w:r>
          </w:p>
        </w:tc>
        <w:tc>
          <w:tcPr>
            <w:gridSpan w:val="2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1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Мастер студије у процесу акредитације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shd w:fill="d9d9d9" w:val="clear"/>
            <w:vAlign w:val="center"/>
          </w:tcPr>
          <w:p w:rsidR="00000000" w:rsidDel="00000000" w:rsidP="00000000" w:rsidRDefault="00000000" w:rsidRPr="00000000" w14:paraId="000000D3">
            <w:pPr>
              <w:tabs>
                <w:tab w:val="left" w:leader="none" w:pos="567"/>
              </w:tabs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Репрезентативне референце (минимално 5 не више од 10)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DE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0E0">
            <w:pPr>
              <w:jc w:val="both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Станков, У</w:t>
            </w:r>
            <w:r w:rsidDel="00000000" w:rsidR="00000000" w:rsidRPr="00000000">
              <w:rPr>
                <w:vertAlign w:val="baseline"/>
                <w:rtl w:val="0"/>
              </w:rPr>
              <w:t xml:space="preserve">. 2012. </w:t>
            </w: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Веб маркетинг у туризму Војводине</w:t>
            </w:r>
            <w:r w:rsidDel="00000000" w:rsidR="00000000" w:rsidRPr="00000000">
              <w:rPr>
                <w:vertAlign w:val="baseline"/>
                <w:rtl w:val="0"/>
              </w:rPr>
              <w:t xml:space="preserve">. Универзитет у Новом Саду, Природно-математички факултет, Департман за географију, туризам и хотелијерство, Нови Сад, 147.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E9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0EB">
            <w:pPr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Kicošev, S., Ćatović, A., 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Stankov, U</w:t>
            </w:r>
            <w:r w:rsidDel="00000000" w:rsidR="00000000" w:rsidRPr="00000000">
              <w:rPr>
                <w:vertAlign w:val="baseline"/>
                <w:rtl w:val="0"/>
              </w:rPr>
              <w:t xml:space="preserve">. 2011. </w:t>
            </w: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Informacione tehnologije u turizmu i ugostiteljstvu</w:t>
            </w:r>
            <w:r w:rsidDel="00000000" w:rsidR="00000000" w:rsidRPr="00000000">
              <w:rPr>
                <w:vertAlign w:val="baseline"/>
                <w:rtl w:val="0"/>
              </w:rPr>
              <w:t xml:space="preserve">. PrintCom, Tuzla, 246.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F4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0F6">
            <w:pPr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Jovanović, V., Đurđev, B., Srdić, Z. 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Stankov, U</w:t>
            </w:r>
            <w:r w:rsidDel="00000000" w:rsidR="00000000" w:rsidRPr="00000000">
              <w:rPr>
                <w:vertAlign w:val="baseline"/>
                <w:rtl w:val="0"/>
              </w:rPr>
              <w:t xml:space="preserve">. 2012. </w:t>
            </w: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Geografski informacioni sistemi</w:t>
            </w:r>
            <w:r w:rsidDel="00000000" w:rsidR="00000000" w:rsidRPr="00000000">
              <w:rPr>
                <w:vertAlign w:val="baseline"/>
                <w:rtl w:val="0"/>
              </w:rPr>
              <w:t xml:space="preserve">. Univerzitet u Novom Sadu, Prirodno-matematički fakultet, Novi Sad, Univerzitet Singidunum, Beograd, 209.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FF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101">
            <w:pPr>
              <w:tabs>
                <w:tab w:val="left" w:leader="none" w:pos="567"/>
              </w:tabs>
              <w:jc w:val="both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Stankov</w:t>
            </w:r>
            <w:r w:rsidDel="00000000" w:rsidR="00000000" w:rsidRPr="00000000">
              <w:rPr>
                <w:vertAlign w:val="baseline"/>
                <w:rtl w:val="0"/>
              </w:rPr>
              <w:t xml:space="preserve">, 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U</w:t>
            </w:r>
            <w:r w:rsidDel="00000000" w:rsidR="00000000" w:rsidRPr="00000000">
              <w:rPr>
                <w:vertAlign w:val="baseline"/>
                <w:rtl w:val="0"/>
              </w:rPr>
              <w:t xml:space="preserve">., Djurdjev, B., Markovic, V., Arsenovic, D. 2012. Understanding the Importance of GIS among Students of Tourism Management. </w:t>
            </w: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Geographia Technica </w:t>
            </w:r>
            <w:r w:rsidDel="00000000" w:rsidR="00000000" w:rsidRPr="00000000">
              <w:rPr>
                <w:vertAlign w:val="baseline"/>
                <w:rtl w:val="0"/>
              </w:rPr>
              <w:t xml:space="preserve">2, 68-74.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0A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10C">
            <w:pPr>
              <w:tabs>
                <w:tab w:val="left" w:leader="none" w:pos="567"/>
              </w:tabs>
              <w:jc w:val="both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Stankov, U</w:t>
            </w:r>
            <w:r w:rsidDel="00000000" w:rsidR="00000000" w:rsidRPr="00000000">
              <w:rPr>
                <w:vertAlign w:val="baseline"/>
                <w:rtl w:val="0"/>
              </w:rPr>
              <w:t xml:space="preserve">., Klaučo, M., Dragićević, V. Vujičić, M, Solarević, M. 2016. Assessing land-use changes in tourism area on the example of Čajetina municipality (Serbia) </w:t>
            </w: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Geographica Pannonica</w:t>
            </w:r>
            <w:r w:rsidDel="00000000" w:rsidR="00000000" w:rsidRPr="00000000">
              <w:rPr>
                <w:vertAlign w:val="baseline"/>
                <w:rtl w:val="0"/>
              </w:rPr>
              <w:t xml:space="preserve"> 20 (2) , 105-113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15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117">
            <w:pPr>
              <w:tabs>
                <w:tab w:val="left" w:leader="none" w:pos="567"/>
              </w:tabs>
              <w:jc w:val="both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Stankov, </w:t>
            </w:r>
            <w:r w:rsidDel="00000000" w:rsidR="00000000" w:rsidRPr="00000000">
              <w:rPr>
                <w:vertAlign w:val="baseline"/>
                <w:rtl w:val="0"/>
              </w:rPr>
              <w:t xml:space="preserve">U., Pavluković, V., Alcántara-Pilar, J. M., Cimbaljević, M., &amp; Armenski, T. 2018. Should Festival Be Smarter?: ICT on Mass Events–The Case of the Exit Festival (Novi Sad, Serbia). In </w:t>
            </w: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Handbook of Research on Technological Developments for Cultural Heritage and eTourism Applications </w:t>
            </w:r>
            <w:r w:rsidDel="00000000" w:rsidR="00000000" w:rsidRPr="00000000">
              <w:rPr>
                <w:vertAlign w:val="baseline"/>
                <w:rtl w:val="0"/>
              </w:rPr>
              <w:t xml:space="preserve">(pp. 245-263). IGI Global.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20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122">
            <w:pPr>
              <w:tabs>
                <w:tab w:val="left" w:leader="none" w:pos="567"/>
              </w:tabs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Kalinić, Č., 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Stankov, U</w:t>
            </w:r>
            <w:r w:rsidDel="00000000" w:rsidR="00000000" w:rsidRPr="00000000">
              <w:rPr>
                <w:vertAlign w:val="baseline"/>
                <w:rtl w:val="0"/>
              </w:rPr>
              <w:t xml:space="preserve">. 2017. </w:t>
            </w: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Historic town sand modern visitors – Examining social media analytics capabilities</w:t>
            </w:r>
            <w:r w:rsidDel="00000000" w:rsidR="00000000" w:rsidRPr="00000000">
              <w:rPr>
                <w:vertAlign w:val="baseline"/>
                <w:rtl w:val="0"/>
              </w:rPr>
              <w:t xml:space="preserve">. Fourth International Conference Preservation and Improvement of Historic Towns, 11-12 May 2017, Sremski Karlovci, Serbia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2B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12D">
            <w:pPr>
              <w:tabs>
                <w:tab w:val="left" w:leader="none" w:pos="567"/>
              </w:tabs>
              <w:jc w:val="both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Stankov, U.</w:t>
            </w:r>
            <w:r w:rsidDel="00000000" w:rsidR="00000000" w:rsidRPr="00000000">
              <w:rPr>
                <w:vertAlign w:val="baseline"/>
                <w:rtl w:val="0"/>
              </w:rPr>
              <w:t xml:space="preserve">, Dragićević, V. 2015. Changes in Spatial Pattern of Net Earings: Evidence from Serbia. </w:t>
            </w: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Acta Oeconomica</w:t>
            </w:r>
            <w:r w:rsidDel="00000000" w:rsidR="00000000" w:rsidRPr="00000000">
              <w:rPr>
                <w:vertAlign w:val="baseline"/>
                <w:rtl w:val="0"/>
              </w:rPr>
              <w:t xml:space="preserve"> 65 (3), 351-365.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36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138">
            <w:pPr>
              <w:tabs>
                <w:tab w:val="left" w:leader="none" w:pos="567"/>
              </w:tabs>
              <w:jc w:val="both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Stankov, U., </w:t>
            </w:r>
            <w:r w:rsidDel="00000000" w:rsidR="00000000" w:rsidRPr="00000000">
              <w:rPr>
                <w:vertAlign w:val="baseline"/>
                <w:rtl w:val="0"/>
              </w:rPr>
              <w:t xml:space="preserve">Armenski, T., Klauco, M., Pavluković, V., Cimbaljević, M., Drakulić-Kovačević, N. 2017. </w:t>
            </w: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Spatial autocorrelation analysis of tourist arrivals using municipal data: A Serbian example</w:t>
            </w:r>
            <w:r w:rsidDel="00000000" w:rsidR="00000000" w:rsidRPr="00000000">
              <w:rPr>
                <w:vertAlign w:val="baseline"/>
                <w:rtl w:val="0"/>
              </w:rPr>
              <w:t xml:space="preserve">. Geographica Pannonica 21 (2) 106-114. 10.18421/GP21.02-04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1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3">
            <w:pPr>
              <w:tabs>
                <w:tab w:val="left" w:leader="none" w:pos="567"/>
              </w:tabs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Drakulić Kovačević, N. Kovačević; L, 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Stankov, U</w:t>
            </w:r>
            <w:r w:rsidDel="00000000" w:rsidR="00000000" w:rsidRPr="00000000">
              <w:rPr>
                <w:vertAlign w:val="baseline"/>
                <w:rtl w:val="0"/>
              </w:rPr>
              <w:t xml:space="preserve">, Dragićević, V., Miletić, A. 2017. Applying destination competitiveness model to strategic tourism development of small destinations – The case of South Banat district. </w:t>
            </w: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Journal of Destination Marketing &amp; Management</w:t>
            </w:r>
            <w:r w:rsidDel="00000000" w:rsidR="00000000" w:rsidRPr="00000000">
              <w:rPr>
                <w:vertAlign w:val="baseline"/>
                <w:rtl w:val="0"/>
              </w:rPr>
              <w:t xml:space="preserve">, in press 10.1016/j.jdmm.2017.01.002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shd w:fill="d9d9d9" w:val="clear"/>
            <w:vAlign w:val="center"/>
          </w:tcPr>
          <w:p w:rsidR="00000000" w:rsidDel="00000000" w:rsidP="00000000" w:rsidRDefault="00000000" w:rsidRPr="00000000" w14:paraId="0000014C">
            <w:pPr>
              <w:tabs>
                <w:tab w:val="left" w:leader="none" w:pos="567"/>
              </w:tabs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Збирни подаци научне, односно уметничке и стручне активности наставника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57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Укупан број цитата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15D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75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62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168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12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6D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173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Домаћи 1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75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Међународни 1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78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Усавршавања 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7B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183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Други подаци које сматрате релевантним - Положен Amadeus Introductory и Functionality курс; Наставник је аутор и реализатор акредитованог програма сталног стручног усавршавања наставника, васпитача, стручних сарадника и директора школа “Веб ГИС и геонауке”. </w:t>
            </w:r>
          </w:p>
        </w:tc>
      </w:tr>
    </w:tbl>
    <w:p w:rsidR="00000000" w:rsidDel="00000000" w:rsidP="00000000" w:rsidRDefault="00000000" w:rsidRPr="00000000" w14:paraId="0000018E">
      <w:pPr>
        <w:rPr>
          <w:i w:val="0"/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568" w:top="1080" w:left="1138" w:right="1138" w:header="706" w:footer="706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Latn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