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60.0" w:type="dxa"/>
        <w:jc w:val="left"/>
        <w:tblInd w:w="-5.0" w:type="dxa"/>
        <w:tblLayout w:type="fixed"/>
        <w:tblLook w:val="0000"/>
      </w:tblPr>
      <w:tblGrid>
        <w:gridCol w:w="420"/>
        <w:gridCol w:w="1140"/>
        <w:gridCol w:w="645"/>
        <w:gridCol w:w="120"/>
        <w:gridCol w:w="975"/>
        <w:gridCol w:w="780"/>
        <w:gridCol w:w="105"/>
        <w:gridCol w:w="1065"/>
        <w:gridCol w:w="105"/>
        <w:gridCol w:w="330"/>
        <w:gridCol w:w="1185"/>
        <w:gridCol w:w="240"/>
        <w:gridCol w:w="1620"/>
        <w:gridCol w:w="930"/>
        <w:tblGridChange w:id="0">
          <w:tblGrid>
            <w:gridCol w:w="420"/>
            <w:gridCol w:w="1140"/>
            <w:gridCol w:w="645"/>
            <w:gridCol w:w="120"/>
            <w:gridCol w:w="975"/>
            <w:gridCol w:w="780"/>
            <w:gridCol w:w="105"/>
            <w:gridCol w:w="1065"/>
            <w:gridCol w:w="105"/>
            <w:gridCol w:w="330"/>
            <w:gridCol w:w="1185"/>
            <w:gridCol w:w="240"/>
            <w:gridCol w:w="1620"/>
            <w:gridCol w:w="930"/>
          </w:tblGrid>
        </w:tblGridChange>
      </w:tblGrid>
      <w:tr>
        <w:trPr>
          <w:cantSplit w:val="0"/>
          <w:trHeight w:val="274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2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Име и презиме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9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Слободан Б. Марковић 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Редовни професор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E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5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Природно- математичи факултет, Универзитет у Новом Саду.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1.3.1994. Последњи избор у звање: 1.10.2009.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150" w:hRule="atLeast"/>
          <w:tblHeader w:val="0"/>
        </w:trPr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A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8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C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Година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Институција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0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Научна или уметничка област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6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 у звање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A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2009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ПМФ, УНС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Гео-науке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4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Докторат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8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2000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ПМФ, УНС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C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Гео-науке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0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2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Магистратура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6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1996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7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ПМФ, УНС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A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Гео-науке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E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0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4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1992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5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ПМФ, УНС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8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Гео-науке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C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135" w:hRule="atLeast"/>
          <w:tblHeader w:val="0"/>
        </w:trPr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E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82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C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Р.Б.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D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Ознака предмета</w:t>
              <w:br w:type="textWrapping"/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предмета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5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наставе</w:t>
            </w:r>
          </w:p>
          <w:p w:rsidR="00000000" w:rsidDel="00000000" w:rsidP="00000000" w:rsidRDefault="00000000" w:rsidRPr="00000000" w14:paraId="000000A6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8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студијског програма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Врста студија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C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Г301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D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Геоморфологија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6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Професор географије, Географија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A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ДГ307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Палеогеографија квартара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Професор географије, Географија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644.941406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7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Г406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Географија природних разноликости</w:t>
              <w:br w:type="textWrapping"/>
              <w:t xml:space="preserve">Војводине 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Професор географије, Географија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6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МГЕ501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7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Рекултивација и ремедијација нарушених екосистема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0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Географија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MАС</w:t>
            </w:r>
          </w:p>
        </w:tc>
      </w:tr>
      <w:tr>
        <w:trPr>
          <w:cantSplit w:val="0"/>
          <w:trHeight w:val="248" w:hRule="atLeast"/>
          <w:tblHeader w:val="0"/>
        </w:trPr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3">
            <w:pPr>
              <w:widowControl w:val="0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1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2">
            <w:pPr>
              <w:widowControl w:val="0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Marković, S.B.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Bokhorst, M, Vandenberghe, J., Oches, E.A., Zöller, L., McCoy, W.D., Gaudenyi, T., Jovanović, M., Hambach, U., Machalett, B. 2008. Late Pleistocene loess-paleosol sequences in the Vojvodina region, North Serbia. Journal of Quaternary Science 23, 73-84.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F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0">
            <w:pPr>
              <w:widowControl w:val="0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Marković, S. B.,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Hambach, U., Stevens, T., Kukla, G.J., Heller, F., William D. McCoy, W.D., Oches, E.A., Buggle, B., Zöller, L. 2011. The last million years recorded at the Stari Slankamen loess-palaeosol sequence: revised chronostratigraphy and long-term environmental trends.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Quaternary Science Reviews 30, 1142-1154.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D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E">
            <w:pPr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Marković, S.B.,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Stevens, T., Kukla, G.J., Hambach, U., Fitzsimmons, K.E., Gibbard, P., Buggle, B., Zech, M., Guo, Z.T., Hao, Q.Z., Wu, H., O’Hara-Dhand, K., Smalley, I.J., Ujvari, G., Sümegi, P., Timar-Gabor, A., Veres, D., Sirocko, F., Vasiljević, Dj.A., Jari, Z., Svensson, A., Jović, V., Kovács, J., Svirčev, Z. 2015. The Danube loess stratigraphy - new steps towards the development of a pan-European loess stratigraphic model. Earth Science Reviews 148, 228-258.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B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C">
            <w:pPr>
              <w:widowControl w:val="0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Marković, S.B.,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Sümegi, P., Stevens, T., Schaetzl, R.J., Obreht, I., Chu, W., Buggle, B., Zech, M., Zech, R., Zeeden, C., Gavrilov, M.B., Perić, Z., Svirčev, Z., Lehmkuhl, F. 2018. The Crvenka loess-paleosol sequence: A record of continuous grassland domination in the southern Carpathian Basin during the Late Pleistocene. Palaeogeography, Palaeoclimatology, Palaeoecology 509, 33-46.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9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A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Marković, S.B.,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Stevens, T.,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23232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Mason, J., Vandenberghe, J., Yang, S., Veres, D., Újvári, G., Timar-Gabor, A., Zeeden, C., Guo, Z., Hao, Q., Obreht, I., Hambach, U., Wu, H., Gavrilov, M.B., Rolf, C., Tomić, N., Lehmkuhl, F. 2018. Loess correlations – Between myth and reality. Palaeogeography, Palaeoclimatology, Palaeoecology 509, 4-23. </w:t>
            </w:r>
          </w:p>
        </w:tc>
      </w:tr>
      <w:tr>
        <w:trPr>
          <w:cantSplit w:val="0"/>
          <w:trHeight w:val="167" w:hRule="atLeast"/>
          <w:tblHeader w:val="0"/>
        </w:trPr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7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5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Укупан број цитата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B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Google Scholar 9298, Scopus 7110</w:t>
            </w:r>
          </w:p>
        </w:tc>
      </w:tr>
      <w:tr>
        <w:trPr>
          <w:cantSplit w:val="0"/>
          <w:trHeight w:val="178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3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SCI (SSCI) листе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9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205 са SCI (SSCI) листе</w:t>
            </w:r>
          </w:p>
        </w:tc>
      </w:tr>
      <w:tr>
        <w:trPr>
          <w:cantSplit w:val="0"/>
          <w:trHeight w:val="135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1">
            <w:pPr>
              <w:widowControl w:val="0"/>
              <w:tabs>
                <w:tab w:val="left" w:leader="none" w:pos="567"/>
              </w:tabs>
              <w:ind w:right="-17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7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Домаћи 1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B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Међународни 1</w:t>
            </w:r>
          </w:p>
        </w:tc>
      </w:tr>
      <w:tr>
        <w:trPr>
          <w:cantSplit w:val="0"/>
          <w:trHeight w:val="165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F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Усавршавања </w:t>
            </w:r>
          </w:p>
        </w:tc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2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Хумболтова стипендија 2002-2004, Универзитет у Бајројту, Немачка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D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Други подаци које сматрате релевантним: Дописни члан САНУ од 2015.</w:t>
            </w:r>
          </w:p>
        </w:tc>
      </w:tr>
    </w:tbl>
    <w:p w:rsidR="00000000" w:rsidDel="00000000" w:rsidP="00000000" w:rsidRDefault="00000000" w:rsidRPr="00000000" w14:paraId="0000018B">
      <w:pPr>
        <w:tabs>
          <w:tab w:val="left" w:leader="none" w:pos="567"/>
        </w:tabs>
        <w:jc w:val="both"/>
        <w:rPr>
          <w:rFonts w:ascii="Times New Roman" w:cs="Times New Roman" w:eastAsia="Times New Roman" w:hAnsi="Times New Roman"/>
          <w:sz w:val="20"/>
          <w:szCs w:val="20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C">
      <w:pPr>
        <w:tabs>
          <w:tab w:val="left" w:leader="none" w:pos="567"/>
        </w:tabs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