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4"/>
        <w:gridCol w:w="1006"/>
        <w:gridCol w:w="605"/>
        <w:gridCol w:w="116"/>
        <w:gridCol w:w="975"/>
        <w:gridCol w:w="768"/>
        <w:gridCol w:w="64"/>
        <w:gridCol w:w="579"/>
        <w:gridCol w:w="493"/>
        <w:gridCol w:w="900"/>
        <w:gridCol w:w="1098"/>
        <w:gridCol w:w="1020"/>
        <w:gridCol w:w="1302"/>
        <w:tblGridChange w:id="0">
          <w:tblGrid>
            <w:gridCol w:w="594"/>
            <w:gridCol w:w="1006"/>
            <w:gridCol w:w="605"/>
            <w:gridCol w:w="116"/>
            <w:gridCol w:w="975"/>
            <w:gridCol w:w="768"/>
            <w:gridCol w:w="64"/>
            <w:gridCol w:w="579"/>
            <w:gridCol w:w="493"/>
            <w:gridCol w:w="900"/>
            <w:gridCol w:w="1098"/>
            <w:gridCol w:w="1020"/>
            <w:gridCol w:w="1302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Лазар В. Лазић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Назив институције у  којој наставник ради са пуним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Департман за географију, туризам и хотелијерство, 1. октобар 1990. године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Последњи датум избора: 27.06.2006. године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2006.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1996.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1992.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1986.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60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Г104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Климатологија са основама метеорологије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Професор географије, Географија, 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Т101б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Туристичка 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Гис101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Основе дигиталне географије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Г507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Основе фотографије као графичког средства у географији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предавања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Професор географије,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МАС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color w:val="ff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Лазић, 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Павић, Д. (2003): Клима Баната, Географски аспекти стања и развоја Србије (Војводине), Банат, ПМФ, Департман за географију, туризам и хотелијерство, Нови Сад (стр. 1-171)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Gavrilov, M.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Lazić, 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Pešić, A., Milutinović, M., Marković, D., Stanković, A. and Gavrilov, M.M. (2010): Influence of Hail Suppression on the Hail Trend in Serbia,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9"/>
                <w:szCs w:val="19"/>
                <w:rtl w:val="0"/>
              </w:rPr>
              <w:t xml:space="preserve">Physical Geography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31, 5, pp. 441–454. DOI: 10.2747/0272-3646.31.5.441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Šećerov I., Popov S., Sladojević S., Milin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Lazić L.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Milošević D., Arsenović D., Savić S. (2021): Achieving high reliability in data acquisition.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9"/>
                <w:szCs w:val="19"/>
                <w:rtl w:val="0"/>
              </w:rPr>
              <w:t xml:space="preserve">Remote Sensing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Vol. 13, No. 3, ISSN 2072-4292, https://doi.org/10.3390/rs13030345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Savić, S. Milovanović, B., Lužanin, Z.,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Lazić, 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., Dolinaj, D. (2015): The variability of extreme temperatures and their relationship with atmospheric circulation: the contribution of applying linear and quadratic models,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9"/>
                <w:szCs w:val="19"/>
                <w:rtl w:val="0"/>
              </w:rPr>
              <w:t xml:space="preserve">Theoretical and Applied Climatology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DOI 10.1007/s00704-014-1263-3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Basarin, B., Kržič.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., Lazić, 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., Lukić, T., Doroević, J., Janićijević Petrović, B., Ćopić, S., Matić, D., Hrnjak, I., Matzarakis, A. (2014):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a1a1a"/>
                <w:sz w:val="19"/>
                <w:szCs w:val="19"/>
                <w:rtl w:val="0"/>
              </w:rPr>
              <w:t xml:space="preserve">Evaluation of bioclimate conditions in two special nature reserves in Vojvodina (Northern Serbia),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434343"/>
                <w:sz w:val="19"/>
                <w:szCs w:val="19"/>
                <w:rtl w:val="0"/>
              </w:rPr>
              <w:t xml:space="preserve">Carpathian Journal of Earth and Environmental Sciences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19"/>
                <w:szCs w:val="19"/>
                <w:rtl w:val="0"/>
              </w:rPr>
              <w:t xml:space="preserve"> 9(4):93-108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Košić, K., Pivac, T., Romelić,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Lazić, L.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Stojanović, V. (2011): „Characteristics of thermal–mineral waters in Backa region (Vojvodina) and their exploitation in spa tourism“.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9"/>
                <w:szCs w:val="19"/>
                <w:rtl w:val="0"/>
              </w:rPr>
              <w:t xml:space="preserve">Renewable and Sustainable Energy Reviews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Volume 15, Issue 1, pp. 801-807. (M21) IF 6,018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Лазић, Л.,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 Кошић, К. (2004): Туристичка географија, уџбеник, ПМФ, Департман за географију, туризам и хотелијерство, Нови Сад, пп. 1-132.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Stojanović,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Lazić, L.,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 Dunjić, J. (2018): Nature Protection and Sustainable Tourism Interaction in Selected Ramsar Sites in Vojvodina (Northern Serbia),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9"/>
                <w:szCs w:val="19"/>
                <w:rtl w:val="0"/>
              </w:rPr>
              <w:t xml:space="preserve">Geographica Pannonica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, Vol. 22, Issue 3 (September 2018), 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9"/>
                <w:szCs w:val="19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621 (Google scholar)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10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Домаћи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Међународни 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Усавршавања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ERAZMUS+ KA107 mobilnost "DimitrieCantemir" University of Tirgu Mures - 2019 (Teaching assignment), 2021 (Professional training)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У периоду 2002/06, 2009/12. и 2015- директор Департмана за географију, туризам и хотелијерство, Продекан за организацију и финансије 2012/15. Главни и одговорни уредник међународног научног часописа Geographica Pannonica 2008/12. I 2015-. Три самосталне изложбе фотографија (2011, 2016, 2017).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6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19"/>
          <w:szCs w:val="19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