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5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  <w:tblGridChange w:id="0">
          <w:tblGrid>
            <w:gridCol w:w="596"/>
            <w:gridCol w:w="222"/>
            <w:gridCol w:w="1065"/>
            <w:gridCol w:w="324"/>
            <w:gridCol w:w="117"/>
            <w:gridCol w:w="979"/>
            <w:gridCol w:w="773"/>
            <w:gridCol w:w="64"/>
            <w:gridCol w:w="314"/>
            <w:gridCol w:w="747"/>
            <w:gridCol w:w="417"/>
            <w:gridCol w:w="173"/>
            <w:gridCol w:w="1247"/>
            <w:gridCol w:w="319"/>
            <w:gridCol w:w="202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Владимир Н. Марковић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Департман за географију, туризам и хотелијерство 01.02.2010.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2021.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Департман за географију, туризам и хотелијерство, 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Департман за географију, туризам и хотелијерство, 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Ловни туризам, ГИС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2007.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Департман за географију, туризам и хотелијерство, 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Туризам, ловни туризам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46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Т208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  <w:rtl w:val="0"/>
              </w:rPr>
              <w:t xml:space="preserve">Основи ловства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туризмолог, модул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Т349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  <w:rtl w:val="0"/>
              </w:rPr>
              <w:t xml:space="preserve">Установљавање ловишта и газдовање у ловству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туризмолог, модул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Т220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Стручна пракса 2Л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туризмолог, модул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ГИС304а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Примена ГИС-а у ловиштима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Геоинформатика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ДГ301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Географски информациони системи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географ, геоинформатика, геоекологија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Марковић, 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Баровић, В. (2006). Увод у ловство. Универзитетски уџбеник. Природно-математички факултет,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Марковић, 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Матејевић, М., Ковачевић, М. (2015). Установљавање ловишта и газдовање у ловству – практикум. Природно-математички факултет,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Марковић, 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Ковачевић, М. (2020). ГИС у ловству и ловном туризму, универзитетски уџбеник (електронски). Природно-математички факултет, Нови Сад. http://www.dgt.uns.ac.rs/wp-content/uploads/2020/10/GIS-u-lovstvu-i-lovnom-turizmu.pdf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6"/>
                <w:szCs w:val="16"/>
                <w:rtl w:val="0"/>
              </w:rPr>
              <w:t xml:space="preserve">Marković,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 Vasiljević, Dj., Jovanović, T., Lukić, T., Vujičić, M., Kovačević, M., Ristić, Z., Marković, S., Ristanović, B., Sakulski, D. (2017). The effect of natural and human-induced habitat conditions on number of roe deer: case stuty of Vojvodina,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d0d0d"/>
                <w:sz w:val="16"/>
                <w:szCs w:val="16"/>
                <w:rtl w:val="0"/>
              </w:rPr>
              <w:t xml:space="preserve">Acta geographica Slovenica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, 57(2), 58-69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Kovačević,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6"/>
                <w:szCs w:val="16"/>
                <w:rtl w:val="0"/>
              </w:rPr>
              <w:t xml:space="preserve">Marković,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 Ponjiger, I., Ristić, Z., Matejević, M., Stojsavljević, R., Stamenković, I. (2019). Evaluation of Vegetation as a Habitat Factor in Hunting Ground.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d0d0d"/>
                <w:sz w:val="16"/>
                <w:szCs w:val="16"/>
                <w:rtl w:val="0"/>
              </w:rPr>
              <w:t xml:space="preserve">Rocznik Ochrona Środowiska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, 21, 85-97.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Klaučo M., Gregorova, B., Stankov U.,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6"/>
                <w:szCs w:val="16"/>
                <w:rtl w:val="0"/>
              </w:rPr>
              <w:t xml:space="preserve">Marković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., Lemenkova, P., (2013). Determination of Ecological Significance Based on Geostatistical Assessment: A Case Study from the Slovak Natura 2000 protected area.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d0d0d"/>
                <w:sz w:val="16"/>
                <w:szCs w:val="16"/>
                <w:rtl w:val="0"/>
              </w:rPr>
              <w:t xml:space="preserve">Central European Journal of Geoscience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s, 5(1) 28-42.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6"/>
                <w:szCs w:val="16"/>
                <w:rtl w:val="0"/>
              </w:rPr>
              <w:t xml:space="preserve">Marković,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., Klaučo, M., Stankov, U., Jovanović, T.,Ristić, Z. (2014). Evaluation of Human Impact on the Land Cover Trough Landscape Metrics: Nature Park „Šragan-Mokra Gora“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d0d0d"/>
                <w:sz w:val="16"/>
                <w:szCs w:val="16"/>
                <w:rtl w:val="0"/>
              </w:rPr>
              <w:t xml:space="preserve">Rocznik Ochrona Środowiska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, 16, 52 – 73.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6"/>
                <w:szCs w:val="16"/>
                <w:rtl w:val="0"/>
              </w:rPr>
              <w:t xml:space="preserve">Marković,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Milošević, S., Kovačević, M., Matejević, M., Ponjiger, I. (2022). Tour leader’s role in challenging environment. Proceedings from International Scientific Conference "Contemporary tourism challenges. Sofia, Bulgaria,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 May, ISBN 978-619-239-710-4, 277-284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Milošević,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6"/>
                <w:szCs w:val="16"/>
                <w:rtl w:val="0"/>
              </w:rPr>
              <w:t xml:space="preserve">Marković,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Ponjiger, I., Matejević, M., Kovačević.(2023). Importance of tour leader’s capabilities and risk management for successful adventure trip. Proceedings from International Scientific Conference ‘’Tourism for sustainable future’’.Veliko Turnovo, Bulgaria, 18-19 May, accepted for publishing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Markovć,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Davidović, N., Armenski, T., Bradić, M. (2012). Principles of Sustainable Development of Hunting Tourism in Vojvodina Region.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Geographica Timisiensis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21, 1, 77-89.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916 (Google Scholar), 324 (Scopus)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пројектима: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Еразмус плус и Цеепус размене у Грчкој, Чешкој, Мађарској, Естонији и Хрватској.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Учешће на четири међународна пројекта, од чега на по једном руководилац (IPA-URBANPATH) и администратор (Erasmus+ HUNTOUR). Поседовање лиценце за туристичког водича издате од стране Министарства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