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7"/>
        </w:tabs>
        <w:spacing w:after="60" w:lineRule="auto"/>
        <w:jc w:val="both"/>
        <w:rPr/>
      </w:pPr>
      <w:r w:rsidDel="00000000" w:rsidR="00000000" w:rsidRPr="00000000">
        <w:rPr>
          <w:b w:val="1"/>
          <w:rtl w:val="0"/>
        </w:rPr>
        <w:t xml:space="preserve">Табела 5.2 </w:t>
      </w:r>
      <w:r w:rsidDel="00000000" w:rsidR="00000000" w:rsidRPr="00000000">
        <w:rPr>
          <w:rtl w:val="0"/>
        </w:rPr>
        <w:t xml:space="preserve">Спецификација  предмета </w:t>
      </w:r>
    </w:p>
    <w:tbl>
      <w:tblPr>
        <w:tblStyle w:val="Table1"/>
        <w:tblW w:w="946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1"/>
        <w:gridCol w:w="1941"/>
        <w:gridCol w:w="1159"/>
        <w:gridCol w:w="2020"/>
        <w:gridCol w:w="1237"/>
        <w:tblGridChange w:id="0">
          <w:tblGrid>
            <w:gridCol w:w="3111"/>
            <w:gridCol w:w="1941"/>
            <w:gridCol w:w="1159"/>
            <w:gridCol w:w="2020"/>
            <w:gridCol w:w="1237"/>
          </w:tblGrid>
        </w:tblGridChange>
      </w:tblGrid>
      <w:tr>
        <w:trPr>
          <w:cantSplit w:val="0"/>
          <w:trHeight w:val="227" w:hRule="atLeast"/>
          <w:tblHeader w:val="0"/>
        </w:trPr>
        <w:tc>
          <w:tcPr>
            <w:gridSpan w:val="5"/>
            <w:vAlign w:val="center"/>
          </w:tcPr>
          <w:p w:rsidR="00000000" w:rsidDel="00000000" w:rsidP="00000000" w:rsidRDefault="00000000" w:rsidRPr="00000000" w14:paraId="00000002">
            <w:pPr>
              <w:tabs>
                <w:tab w:val="left" w:leader="none" w:pos="567"/>
              </w:tabs>
              <w:spacing w:after="60" w:lineRule="auto"/>
              <w:jc w:val="both"/>
              <w:rPr>
                <w:b w:val="1"/>
              </w:rPr>
            </w:pPr>
            <w:r w:rsidDel="00000000" w:rsidR="00000000" w:rsidRPr="00000000">
              <w:rPr>
                <w:b w:val="1"/>
                <w:rtl w:val="0"/>
              </w:rPr>
              <w:t xml:space="preserve">Студијски програм: </w:t>
            </w:r>
            <w:r w:rsidDel="00000000" w:rsidR="00000000" w:rsidRPr="00000000">
              <w:rPr>
                <w:rtl w:val="0"/>
              </w:rPr>
              <w:t xml:space="preserve">Екотуризам и заштита природе</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07">
            <w:pPr>
              <w:tabs>
                <w:tab w:val="left" w:leader="none" w:pos="567"/>
              </w:tabs>
              <w:spacing w:after="60" w:lineRule="auto"/>
              <w:jc w:val="both"/>
              <w:rPr/>
            </w:pPr>
            <w:r w:rsidDel="00000000" w:rsidR="00000000" w:rsidRPr="00000000">
              <w:rPr>
                <w:b w:val="1"/>
                <w:rtl w:val="0"/>
              </w:rPr>
              <w:t xml:space="preserve">Назив предмета: </w:t>
            </w:r>
            <w:r w:rsidDel="00000000" w:rsidR="00000000" w:rsidRPr="00000000">
              <w:rPr>
                <w:rtl w:val="0"/>
              </w:rPr>
              <w:t xml:space="preserve">Биљке и гљиве у екотуризму</w:t>
            </w:r>
          </w:p>
        </w:tc>
      </w:tr>
      <w:tr>
        <w:trPr>
          <w:cantSplit w:val="0"/>
          <w:trHeight w:val="227" w:hRule="atLeast"/>
          <w:tblHeader w:val="0"/>
        </w:trPr>
        <w:tc>
          <w:tcPr>
            <w:gridSpan w:val="5"/>
            <w:vAlign w:val="center"/>
          </w:tcPr>
          <w:p w:rsidR="00000000" w:rsidDel="00000000" w:rsidP="00000000" w:rsidRDefault="00000000" w:rsidRPr="00000000" w14:paraId="0000000C">
            <w:pPr>
              <w:tabs>
                <w:tab w:val="left" w:leader="none" w:pos="567"/>
              </w:tabs>
              <w:spacing w:after="60" w:lineRule="auto"/>
              <w:jc w:val="both"/>
              <w:rPr>
                <w:b w:val="1"/>
              </w:rPr>
            </w:pPr>
            <w:r w:rsidDel="00000000" w:rsidR="00000000" w:rsidRPr="00000000">
              <w:rPr>
                <w:b w:val="1"/>
                <w:rtl w:val="0"/>
              </w:rPr>
              <w:t xml:space="preserve">Наставник: </w:t>
            </w:r>
            <w:r w:rsidDel="00000000" w:rsidR="00000000" w:rsidRPr="00000000">
              <w:rPr>
                <w:rtl w:val="0"/>
              </w:rPr>
              <w:t xml:space="preserve">др Драгана Вуков, др Маја Караман</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1">
            <w:pPr>
              <w:tabs>
                <w:tab w:val="left" w:leader="none" w:pos="567"/>
              </w:tabs>
              <w:spacing w:after="60" w:lineRule="auto"/>
              <w:jc w:val="both"/>
              <w:rPr/>
            </w:pPr>
            <w:r w:rsidDel="00000000" w:rsidR="00000000" w:rsidRPr="00000000">
              <w:rPr>
                <w:b w:val="1"/>
                <w:rtl w:val="0"/>
              </w:rPr>
              <w:t xml:space="preserve">Статус предмета: </w:t>
            </w:r>
            <w:r w:rsidDel="00000000" w:rsidR="00000000" w:rsidRPr="00000000">
              <w:rPr>
                <w:rtl w:val="0"/>
              </w:rPr>
              <w:t xml:space="preserve">изборни</w:t>
            </w:r>
          </w:p>
        </w:tc>
      </w:tr>
      <w:tr>
        <w:trPr>
          <w:cantSplit w:val="0"/>
          <w:trHeight w:val="227" w:hRule="atLeast"/>
          <w:tblHeader w:val="0"/>
        </w:trPr>
        <w:tc>
          <w:tcPr>
            <w:gridSpan w:val="5"/>
            <w:vAlign w:val="center"/>
          </w:tcPr>
          <w:p w:rsidR="00000000" w:rsidDel="00000000" w:rsidP="00000000" w:rsidRDefault="00000000" w:rsidRPr="00000000" w14:paraId="00000016">
            <w:pPr>
              <w:tabs>
                <w:tab w:val="left" w:leader="none" w:pos="567"/>
              </w:tabs>
              <w:spacing w:after="60" w:lineRule="auto"/>
              <w:jc w:val="both"/>
              <w:rPr/>
            </w:pPr>
            <w:r w:rsidDel="00000000" w:rsidR="00000000" w:rsidRPr="00000000">
              <w:rPr>
                <w:b w:val="1"/>
                <w:rtl w:val="0"/>
              </w:rPr>
              <w:t xml:space="preserve">Број ЕСПБ: </w:t>
            </w:r>
            <w:r w:rsidDel="00000000" w:rsidR="00000000" w:rsidRPr="00000000">
              <w:rPr>
                <w:rtl w:val="0"/>
              </w:rPr>
              <w:t xml:space="preserve">4</w:t>
            </w:r>
          </w:p>
        </w:tc>
      </w:tr>
      <w:tr>
        <w:trPr>
          <w:cantSplit w:val="0"/>
          <w:trHeight w:val="227" w:hRule="atLeast"/>
          <w:tblHeader w:val="0"/>
        </w:trPr>
        <w:tc>
          <w:tcPr>
            <w:gridSpan w:val="5"/>
            <w:vAlign w:val="center"/>
          </w:tcPr>
          <w:p w:rsidR="00000000" w:rsidDel="00000000" w:rsidP="00000000" w:rsidRDefault="00000000" w:rsidRPr="00000000" w14:paraId="0000001B">
            <w:pPr>
              <w:tabs>
                <w:tab w:val="left" w:leader="none" w:pos="567"/>
              </w:tabs>
              <w:spacing w:after="60" w:lineRule="auto"/>
              <w:jc w:val="both"/>
              <w:rPr/>
            </w:pPr>
            <w:r w:rsidDel="00000000" w:rsidR="00000000" w:rsidRPr="00000000">
              <w:rPr>
                <w:b w:val="1"/>
                <w:rtl w:val="0"/>
              </w:rPr>
              <w:t xml:space="preserve">Услов: -</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0">
            <w:pPr>
              <w:tabs>
                <w:tab w:val="left" w:leader="none" w:pos="567"/>
              </w:tabs>
              <w:spacing w:after="60" w:lineRule="auto"/>
              <w:jc w:val="both"/>
              <w:rPr/>
            </w:pPr>
            <w:r w:rsidDel="00000000" w:rsidR="00000000" w:rsidRPr="00000000">
              <w:rPr>
                <w:b w:val="1"/>
                <w:rtl w:val="0"/>
              </w:rPr>
              <w:t xml:space="preserve">Циљ предмета: </w:t>
            </w:r>
            <w:r w:rsidDel="00000000" w:rsidR="00000000" w:rsidRPr="00000000">
              <w:rPr>
                <w:rtl w:val="0"/>
              </w:rPr>
              <w:t xml:space="preserve">Циљ овог курса јесте упознавање са вредностима и диверзитетом флоре, макрогљива и вегетације, као значајних ресурса за промовисање еко туризма у Републици Србији.</w:t>
            </w:r>
          </w:p>
        </w:tc>
      </w:tr>
      <w:tr>
        <w:trPr>
          <w:cantSplit w:val="0"/>
          <w:trHeight w:val="227" w:hRule="atLeast"/>
          <w:tblHeader w:val="0"/>
        </w:trPr>
        <w:tc>
          <w:tcPr>
            <w:gridSpan w:val="5"/>
            <w:vAlign w:val="center"/>
          </w:tcPr>
          <w:p w:rsidR="00000000" w:rsidDel="00000000" w:rsidP="00000000" w:rsidRDefault="00000000" w:rsidRPr="00000000" w14:paraId="00000025">
            <w:pPr>
              <w:tabs>
                <w:tab w:val="left" w:leader="none" w:pos="567"/>
              </w:tabs>
              <w:spacing w:after="60" w:lineRule="auto"/>
              <w:jc w:val="both"/>
              <w:rPr>
                <w:b w:val="1"/>
              </w:rPr>
            </w:pPr>
            <w:r w:rsidDel="00000000" w:rsidR="00000000" w:rsidRPr="00000000">
              <w:rPr>
                <w:b w:val="1"/>
                <w:rtl w:val="0"/>
              </w:rPr>
              <w:t xml:space="preserve">Исход предмета: </w:t>
            </w:r>
            <w:r w:rsidDel="00000000" w:rsidR="00000000" w:rsidRPr="00000000">
              <w:rPr>
                <w:rtl w:val="0"/>
              </w:rPr>
              <w:t xml:space="preserve">Студенти ће бити упознати са свим значајним карактеристикама флоре, вегетације и гљива Републике Србије које су од интереса за развој екотуризма у нашој земљи. Студенти ће бити оспособљени да препознају и интерпретирају све најзначајније и најрепрезентативније биљне врсте и вегетацијске типове и врсте макрогљива као највредније ресурсе екотуризма и да их вреднују као природне туристичке потенцијале.</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2A">
            <w:pPr>
              <w:tabs>
                <w:tab w:val="left" w:leader="none" w:pos="567"/>
              </w:tabs>
              <w:spacing w:after="60" w:lineRule="auto"/>
              <w:jc w:val="both"/>
              <w:rPr>
                <w:b w:val="1"/>
              </w:rPr>
            </w:pPr>
            <w:r w:rsidDel="00000000" w:rsidR="00000000" w:rsidRPr="00000000">
              <w:rPr>
                <w:b w:val="1"/>
                <w:rtl w:val="0"/>
              </w:rPr>
              <w:t xml:space="preserve">Садржај предмета: </w:t>
            </w:r>
            <w:r w:rsidDel="00000000" w:rsidR="00000000" w:rsidRPr="00000000">
              <w:rPr>
                <w:i w:val="1"/>
                <w:rtl w:val="0"/>
              </w:rPr>
              <w:t xml:space="preserve">Теоријска настава: </w:t>
            </w:r>
            <w:r w:rsidDel="00000000" w:rsidR="00000000" w:rsidRPr="00000000">
              <w:rPr>
                <w:rtl w:val="0"/>
              </w:rPr>
              <w:t xml:space="preserve">Упознавање са стаништима и вегетацијским типовима Републике Србије. Екотуре у медитеранској зони вегетације. Диверзитет флоре и вегетације; основни вегетацијски подтипови; значај, угроженост и заштита. Екотуре у умереној шумској зони вегетације. Диверзитет флоре и вегетације; основни вегетацијски подтипови; значај, угроженост и заштита. Екотуре у степској зони вегетације. Диверзитет флоре и вегетације; основни вегетацијски подтипови; значај, угроженост и заштита. Екотуре у бореалној и хемибореалној зони вегетације. Диверзитет флоре и вегетације; основни вегетацијски подтипови; значај, угроженост и заштита. Екотуре у арктичкој зони вегетације. Диверзитет високопланинске флоре и вегетације; основни вегетацијски подтипови; значај, угроженост и заштита. Екотуре у зони алувијалних шума, мочварне и акватичне вегетације. Диверзитет флоре и вегетације; основни вегетацијски подтипови; значај, угроженост и заштита. Екотуре у зони азоналне копнене вегетације. Диверзитет флоре и вегетације; основни вегетацијски подтипови; значај, угроженост и заштита. Екотуре у зони антропогене вегетације; екотуре у урбаним срединама. Диверзитет флоре и вегетације; основни вегетацијски подтипови; значај, угроженост и заштита. </w:t>
            </w:r>
            <w:r w:rsidDel="00000000" w:rsidR="00000000" w:rsidRPr="00000000">
              <w:rPr>
                <w:color w:val="000000"/>
                <w:rtl w:val="0"/>
              </w:rPr>
              <w:t xml:space="preserve">Значај макрогљива у природи и животне сратегије. Значај микоризних гљива. Значај макрогљива за човека: јестиве, отровне, лековите макрогљиве. Нутритивне вредности гљива; Лековита својства биљака и гљива; Најзначајније врсте зачинских биљака и јестивих гљива; Најзначајније врсте лековитих биљака и гљива; Најзначајније отровне биљке и гљиве и синдроми тровања: Угроженост и заштита диверзитета макрогљива.</w:t>
            </w:r>
            <w:r w:rsidDel="00000000" w:rsidR="00000000" w:rsidRPr="00000000">
              <w:rPr>
                <w:rtl w:val="0"/>
              </w:rPr>
            </w:r>
          </w:p>
          <w:p w:rsidR="00000000" w:rsidDel="00000000" w:rsidP="00000000" w:rsidRDefault="00000000" w:rsidRPr="00000000" w14:paraId="0000002B">
            <w:pPr>
              <w:tabs>
                <w:tab w:val="left" w:leader="none" w:pos="567"/>
              </w:tabs>
              <w:spacing w:after="60" w:lineRule="auto"/>
              <w:jc w:val="both"/>
              <w:rPr>
                <w:i w:val="1"/>
              </w:rPr>
            </w:pPr>
            <w:r w:rsidDel="00000000" w:rsidR="00000000" w:rsidRPr="00000000">
              <w:rPr>
                <w:i w:val="1"/>
                <w:rtl w:val="0"/>
              </w:rPr>
              <w:t xml:space="preserve">Практична настава:</w:t>
            </w:r>
            <w:r w:rsidDel="00000000" w:rsidR="00000000" w:rsidRPr="00000000">
              <w:rPr>
                <w:rtl w:val="0"/>
              </w:rPr>
              <w:t xml:space="preserve"> Подразумева упознавање са биљним материјалом у циљу упознавања диверзитета флоре и вегетације. У оквиру теренске наставе ће се одржати и теренска настава у одређеном екосистему, са основним темама: Планирање и креирање екотуре у различитим екосистемима; реализација екотуре на терену; прикупљање биљног и фунгалног материјала, формирање хербарске збирке и колекције фотографија.</w:t>
            </w:r>
            <w:r w:rsidDel="00000000" w:rsidR="00000000" w:rsidRPr="00000000">
              <w:rPr>
                <w:color w:val="000000"/>
                <w:rtl w:val="0"/>
              </w:rPr>
              <w:t xml:space="preserve"> Сакупљање макрогљива из природе; Правила сакупљања и припреме јестивих гљива; Препознавање гљива са посебним освртом на јестиве и отровне врсте; Упознавање са основним микро- и макроморфолошким одликама макрогљива.</w:t>
            </w:r>
            <w:r w:rsidDel="00000000" w:rsidR="00000000" w:rsidRPr="00000000">
              <w:rPr>
                <w:rtl w:val="0"/>
              </w:rPr>
              <w:t xml:space="preserve"> Планирање и креирање екотуре и гљиварских стаза у различитим екосистемима, претежно шумским.</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30">
            <w:pPr>
              <w:spacing w:after="60" w:lineRule="auto"/>
              <w:jc w:val="both"/>
              <w:rPr>
                <w:b w:val="1"/>
                <w:sz w:val="16"/>
                <w:szCs w:val="16"/>
              </w:rPr>
            </w:pPr>
            <w:r w:rsidDel="00000000" w:rsidR="00000000" w:rsidRPr="00000000">
              <w:rPr>
                <w:b w:val="1"/>
                <w:sz w:val="16"/>
                <w:szCs w:val="16"/>
                <w:rtl w:val="0"/>
              </w:rPr>
              <w:t xml:space="preserve">Литература </w:t>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Диклић, Н., Јанковић, М., Јовановић, Б., Јовановић, Р., Којић, М., Мишић, В., (2006): Вегетација Србије II</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subscript"/>
                <w:rtl w:val="0"/>
              </w:rPr>
              <w:t xml:space="preserve">1</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САНУ.</w:t>
            </w:r>
          </w:p>
          <w:p w:rsidR="00000000" w:rsidDel="00000000" w:rsidP="00000000" w:rsidRDefault="00000000" w:rsidRPr="00000000" w14:paraId="0000003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Јанковић, М., Пантић, Н., Мишић, В., Диклић, Н., Гајић, М. (1984): Вегетација СР Србије I, САНУ.</w:t>
            </w:r>
          </w:p>
          <w:p w:rsidR="00000000" w:rsidDel="00000000" w:rsidP="00000000" w:rsidRDefault="00000000" w:rsidRPr="00000000" w14:paraId="0000003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Mucina, L., Bültmann, H., Dierßen, K., Theurillat, J., Raus, T., Čarni, A., Šumberová, K., Willner, W., Dengler, J., Gavilán García, R., Chytrý, M., Hájek, M., Di Pietro, R., Iakushenko, D., Pallas, J., J.A. Daniëls, F., Bergmeier, E., Santos Guerra, A., Ermakov, N., Valachovič, M., H.J. Schaminée, J., Lysenko, T., P. Didukh, Y., Pignatti, S., S. Rodwell, J., Capelo, J., E. Weber, H., Solomeshch, A., Dimopoulos, P., Aguiar, C., M. Hennekens, S., Tichý, L. (2016): Vegetation of Europe: hierarchical floristic classification systemof vascular plant, bryophyte, lichen, and algal communities. - Applied Vegetation Science 19 (Suppl. 1): 3–264.</w:t>
            </w:r>
          </w:p>
          <w:p w:rsidR="00000000" w:rsidDel="00000000" w:rsidP="00000000" w:rsidRDefault="00000000" w:rsidRPr="00000000" w14:paraId="000000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Стевановић, В., Јовановић, С., Лакушић, Д. (1995): Диверзитет вегетације Југославије. - : Стевановић, В., Васић, В. (ур.): Биодиверзитет Југославије са прегледом врста од међународног значаја. Ecolibri, Београд, Биолошки факултет, Београд. 219-242.</w:t>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Carlile, M., Watkinson, S.C., Gooday, G.W. (2006) The Fungi. Elsevier Ltd, UK.</w:t>
            </w:r>
          </w:p>
          <w:p w:rsidR="00000000" w:rsidDel="00000000" w:rsidP="00000000" w:rsidRDefault="00000000" w:rsidRPr="00000000" w14:paraId="000000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Peterson, R.L., Hugues M.B., Melville L.H. (2004) Mycorrhizas: Anatomy and cell biology. National Research Council of Canada, Ontario.</w:t>
            </w:r>
          </w:p>
          <w:p w:rsidR="00000000" w:rsidDel="00000000" w:rsidP="00000000" w:rsidRDefault="00000000" w:rsidRPr="00000000" w14:paraId="000000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Радновић Д., Матавуљ М., Караман М. (2007) Микологија. Скрипта за студенте биологије. Издавач: ПМФ Нови Сад, Универзитет у Новом Саду. WUS Austria ISBN 9787-86-7031-118-3.</w:t>
            </w:r>
          </w:p>
          <w:p w:rsidR="00000000" w:rsidDel="00000000" w:rsidP="00000000" w:rsidRDefault="00000000" w:rsidRPr="00000000" w14:paraId="0000003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60" w:before="0" w:line="240" w:lineRule="auto"/>
              <w:ind w:left="308"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Узелац Б. (2009): Гљиве Србије и Западног Балкана, BGV, Logik, Beograd</w:t>
            </w:r>
          </w:p>
        </w:tc>
      </w:tr>
      <w:tr>
        <w:trPr>
          <w:cantSplit w:val="0"/>
          <w:trHeight w:val="227" w:hRule="atLeast"/>
          <w:tblHeader w:val="0"/>
        </w:trPr>
        <w:tc>
          <w:tcPr>
            <w:vAlign w:val="center"/>
          </w:tcPr>
          <w:p w:rsidR="00000000" w:rsidDel="00000000" w:rsidP="00000000" w:rsidRDefault="00000000" w:rsidRPr="00000000" w14:paraId="0000003D">
            <w:pPr>
              <w:tabs>
                <w:tab w:val="left" w:leader="none" w:pos="567"/>
              </w:tabs>
              <w:spacing w:after="60" w:lineRule="auto"/>
              <w:rPr>
                <w:b w:val="1"/>
              </w:rPr>
            </w:pPr>
            <w:r w:rsidDel="00000000" w:rsidR="00000000" w:rsidRPr="00000000">
              <w:rPr>
                <w:b w:val="1"/>
                <w:rtl w:val="0"/>
              </w:rPr>
              <w:t xml:space="preserve">Број часова  активне наставе</w:t>
            </w:r>
          </w:p>
        </w:tc>
        <w:tc>
          <w:tcPr>
            <w:gridSpan w:val="2"/>
            <w:vAlign w:val="center"/>
          </w:tcPr>
          <w:p w:rsidR="00000000" w:rsidDel="00000000" w:rsidP="00000000" w:rsidRDefault="00000000" w:rsidRPr="00000000" w14:paraId="0000003E">
            <w:pPr>
              <w:tabs>
                <w:tab w:val="left" w:leader="none" w:pos="567"/>
              </w:tabs>
              <w:spacing w:after="60" w:lineRule="auto"/>
              <w:rPr>
                <w:b w:val="1"/>
              </w:rPr>
            </w:pPr>
            <w:r w:rsidDel="00000000" w:rsidR="00000000" w:rsidRPr="00000000">
              <w:rPr>
                <w:b w:val="1"/>
                <w:rtl w:val="0"/>
              </w:rPr>
              <w:t xml:space="preserve">Теоријска настава: </w:t>
            </w:r>
            <w:r w:rsidDel="00000000" w:rsidR="00000000" w:rsidRPr="00000000">
              <w:rPr>
                <w:rtl w:val="0"/>
              </w:rPr>
              <w:t xml:space="preserve">2</w:t>
            </w:r>
            <w:r w:rsidDel="00000000" w:rsidR="00000000" w:rsidRPr="00000000">
              <w:rPr>
                <w:rtl w:val="0"/>
              </w:rPr>
            </w:r>
          </w:p>
        </w:tc>
        <w:tc>
          <w:tcPr>
            <w:gridSpan w:val="2"/>
            <w:vAlign w:val="center"/>
          </w:tcPr>
          <w:p w:rsidR="00000000" w:rsidDel="00000000" w:rsidP="00000000" w:rsidRDefault="00000000" w:rsidRPr="00000000" w14:paraId="00000040">
            <w:pPr>
              <w:tabs>
                <w:tab w:val="left" w:leader="none" w:pos="567"/>
              </w:tabs>
              <w:spacing w:after="60" w:lineRule="auto"/>
              <w:rPr>
                <w:b w:val="1"/>
              </w:rPr>
            </w:pPr>
            <w:r w:rsidDel="00000000" w:rsidR="00000000" w:rsidRPr="00000000">
              <w:rPr>
                <w:b w:val="1"/>
                <w:rtl w:val="0"/>
              </w:rPr>
              <w:t xml:space="preserve">Практична настава: </w:t>
            </w:r>
            <w:r w:rsidDel="00000000" w:rsidR="00000000" w:rsidRPr="00000000">
              <w:rPr>
                <w:rtl w:val="0"/>
              </w:rPr>
              <w:t xml:space="preserve">2+3+1</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42">
            <w:pPr>
              <w:tabs>
                <w:tab w:val="left" w:leader="none" w:pos="567"/>
              </w:tabs>
              <w:spacing w:after="60" w:lineRule="auto"/>
              <w:jc w:val="both"/>
              <w:rPr>
                <w:b w:val="1"/>
              </w:rPr>
            </w:pPr>
            <w:bookmarkStart w:colFirst="0" w:colLast="0" w:name="_gjdgxs" w:id="0"/>
            <w:bookmarkEnd w:id="0"/>
            <w:r w:rsidDel="00000000" w:rsidR="00000000" w:rsidRPr="00000000">
              <w:rPr>
                <w:b w:val="1"/>
                <w:rtl w:val="0"/>
              </w:rPr>
              <w:t xml:space="preserve">Методе извођења наставе: </w:t>
            </w:r>
            <w:r w:rsidDel="00000000" w:rsidR="00000000" w:rsidRPr="00000000">
              <w:rPr>
                <w:rtl w:val="0"/>
              </w:rPr>
              <w:t xml:space="preserve">Предавања и практична настава (индивидуални и групни рад студената). Предавања, лабораторијске вежбе, теренски рад, израда семинарског рада по одабраним темама. </w:t>
            </w:r>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47">
            <w:pPr>
              <w:tabs>
                <w:tab w:val="left" w:leader="none" w:pos="567"/>
              </w:tabs>
              <w:spacing w:after="60" w:lineRule="auto"/>
              <w:rPr>
                <w:b w:val="1"/>
              </w:rPr>
            </w:pPr>
            <w:r w:rsidDel="00000000" w:rsidR="00000000" w:rsidRPr="00000000">
              <w:rPr>
                <w:b w:val="1"/>
                <w:rtl w:val="0"/>
              </w:rPr>
              <w:t xml:space="preserve">Оцена  знања (максимални број поена 100)</w:t>
            </w:r>
          </w:p>
        </w:tc>
      </w:tr>
      <w:tr>
        <w:trPr>
          <w:cantSplit w:val="0"/>
          <w:trHeight w:val="227" w:hRule="atLeast"/>
          <w:tblHeader w:val="0"/>
        </w:trPr>
        <w:tc>
          <w:tcPr>
            <w:vAlign w:val="center"/>
          </w:tcPr>
          <w:p w:rsidR="00000000" w:rsidDel="00000000" w:rsidP="00000000" w:rsidRDefault="00000000" w:rsidRPr="00000000" w14:paraId="0000004C">
            <w:pPr>
              <w:tabs>
                <w:tab w:val="left" w:leader="none" w:pos="567"/>
              </w:tabs>
              <w:spacing w:after="60" w:lineRule="auto"/>
              <w:rPr>
                <w:b w:val="1"/>
              </w:rPr>
            </w:pPr>
            <w:r w:rsidDel="00000000" w:rsidR="00000000" w:rsidRPr="00000000">
              <w:rPr>
                <w:b w:val="1"/>
                <w:rtl w:val="0"/>
              </w:rPr>
              <w:t xml:space="preserve">Предиспитне обавезе</w:t>
            </w:r>
          </w:p>
        </w:tc>
        <w:tc>
          <w:tcPr>
            <w:vAlign w:val="center"/>
          </w:tcPr>
          <w:p w:rsidR="00000000" w:rsidDel="00000000" w:rsidP="00000000" w:rsidRDefault="00000000" w:rsidRPr="00000000" w14:paraId="0000004D">
            <w:pPr>
              <w:tabs>
                <w:tab w:val="left" w:leader="none" w:pos="567"/>
              </w:tabs>
              <w:spacing w:after="60" w:lineRule="auto"/>
              <w:rPr/>
            </w:pPr>
            <w:r w:rsidDel="00000000" w:rsidR="00000000" w:rsidRPr="00000000">
              <w:rPr>
                <w:rtl w:val="0"/>
              </w:rPr>
              <w:t xml:space="preserve">поена</w:t>
            </w:r>
          </w:p>
          <w:p w:rsidR="00000000" w:rsidDel="00000000" w:rsidP="00000000" w:rsidRDefault="00000000" w:rsidRPr="00000000" w14:paraId="0000004E">
            <w:pPr>
              <w:tabs>
                <w:tab w:val="left" w:leader="none" w:pos="567"/>
              </w:tabs>
              <w:spacing w:after="60" w:lineRule="auto"/>
              <w:rPr>
                <w:b w:val="1"/>
              </w:rPr>
            </w:pPr>
            <w:r w:rsidDel="00000000" w:rsidR="00000000" w:rsidRPr="00000000">
              <w:rPr>
                <w:rtl w:val="0"/>
              </w:rPr>
            </w:r>
          </w:p>
        </w:tc>
        <w:tc>
          <w:tcPr>
            <w:gridSpan w:val="2"/>
            <w:shd w:fill="auto" w:val="clear"/>
            <w:vAlign w:val="center"/>
          </w:tcPr>
          <w:p w:rsidR="00000000" w:rsidDel="00000000" w:rsidP="00000000" w:rsidRDefault="00000000" w:rsidRPr="00000000" w14:paraId="0000004F">
            <w:pPr>
              <w:tabs>
                <w:tab w:val="left" w:leader="none" w:pos="567"/>
              </w:tabs>
              <w:spacing w:after="60" w:lineRule="auto"/>
              <w:rPr>
                <w:b w:val="1"/>
              </w:rPr>
            </w:pPr>
            <w:r w:rsidDel="00000000" w:rsidR="00000000" w:rsidRPr="00000000">
              <w:rPr>
                <w:b w:val="1"/>
                <w:rtl w:val="0"/>
              </w:rPr>
              <w:t xml:space="preserve">Завршни испит </w:t>
            </w:r>
          </w:p>
        </w:tc>
        <w:tc>
          <w:tcPr>
            <w:shd w:fill="auto" w:val="clear"/>
            <w:vAlign w:val="center"/>
          </w:tcPr>
          <w:p w:rsidR="00000000" w:rsidDel="00000000" w:rsidP="00000000" w:rsidRDefault="00000000" w:rsidRPr="00000000" w14:paraId="00000051">
            <w:pPr>
              <w:tabs>
                <w:tab w:val="left" w:leader="none" w:pos="567"/>
              </w:tabs>
              <w:spacing w:after="60" w:lineRule="auto"/>
              <w:rPr>
                <w:b w:val="1"/>
              </w:rPr>
            </w:pPr>
            <w:r w:rsidDel="00000000" w:rsidR="00000000" w:rsidRPr="00000000">
              <w:rPr>
                <w:rtl w:val="0"/>
              </w:rPr>
              <w:t xml:space="preserve">поена</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2">
            <w:pPr>
              <w:tabs>
                <w:tab w:val="left" w:leader="none" w:pos="567"/>
              </w:tabs>
              <w:spacing w:after="60" w:lineRule="auto"/>
              <w:rPr>
                <w:i w:val="1"/>
              </w:rPr>
            </w:pPr>
            <w:r w:rsidDel="00000000" w:rsidR="00000000" w:rsidRPr="00000000">
              <w:rPr>
                <w:rtl w:val="0"/>
              </w:rPr>
              <w:t xml:space="preserve">активност у току предавања</w:t>
            </w:r>
            <w:r w:rsidDel="00000000" w:rsidR="00000000" w:rsidRPr="00000000">
              <w:rPr>
                <w:rtl w:val="0"/>
              </w:rPr>
            </w:r>
          </w:p>
        </w:tc>
        <w:tc>
          <w:tcPr>
            <w:vAlign w:val="center"/>
          </w:tcPr>
          <w:p w:rsidR="00000000" w:rsidDel="00000000" w:rsidP="00000000" w:rsidRDefault="00000000" w:rsidRPr="00000000" w14:paraId="00000053">
            <w:pPr>
              <w:tabs>
                <w:tab w:val="left" w:leader="none" w:pos="567"/>
              </w:tabs>
              <w:spacing w:after="60" w:lineRule="auto"/>
              <w:rPr>
                <w:b w:val="1"/>
              </w:rPr>
            </w:pPr>
            <w:r w:rsidDel="00000000" w:rsidR="00000000" w:rsidRPr="00000000">
              <w:rPr>
                <w:rtl w:val="0"/>
              </w:rPr>
            </w:r>
          </w:p>
        </w:tc>
        <w:tc>
          <w:tcPr>
            <w:gridSpan w:val="2"/>
            <w:shd w:fill="auto" w:val="clear"/>
            <w:vAlign w:val="center"/>
          </w:tcPr>
          <w:p w:rsidR="00000000" w:rsidDel="00000000" w:rsidP="00000000" w:rsidRDefault="00000000" w:rsidRPr="00000000" w14:paraId="00000054">
            <w:pPr>
              <w:tabs>
                <w:tab w:val="left" w:leader="none" w:pos="567"/>
              </w:tabs>
              <w:spacing w:after="60" w:lineRule="auto"/>
              <w:rPr>
                <w:i w:val="1"/>
              </w:rPr>
            </w:pPr>
            <w:r w:rsidDel="00000000" w:rsidR="00000000" w:rsidRPr="00000000">
              <w:rPr>
                <w:rtl w:val="0"/>
              </w:rPr>
              <w:t xml:space="preserve">писмени испит</w:t>
            </w:r>
            <w:r w:rsidDel="00000000" w:rsidR="00000000" w:rsidRPr="00000000">
              <w:rPr>
                <w:rtl w:val="0"/>
              </w:rPr>
            </w:r>
          </w:p>
        </w:tc>
        <w:tc>
          <w:tcPr>
            <w:shd w:fill="auto" w:val="clear"/>
            <w:vAlign w:val="center"/>
          </w:tcPr>
          <w:p w:rsidR="00000000" w:rsidDel="00000000" w:rsidP="00000000" w:rsidRDefault="00000000" w:rsidRPr="00000000" w14:paraId="00000056">
            <w:pPr>
              <w:tabs>
                <w:tab w:val="left" w:leader="none" w:pos="567"/>
              </w:tabs>
              <w:spacing w:after="60" w:lineRule="auto"/>
              <w:rPr/>
            </w:pPr>
            <w:r w:rsidDel="00000000" w:rsidR="00000000" w:rsidRPr="00000000">
              <w:rPr>
                <w:rtl w:val="0"/>
              </w:rPr>
              <w:t xml:space="preserve">20</w:t>
            </w:r>
          </w:p>
        </w:tc>
      </w:tr>
      <w:tr>
        <w:trPr>
          <w:cantSplit w:val="0"/>
          <w:trHeight w:val="227" w:hRule="atLeast"/>
          <w:tblHeader w:val="0"/>
        </w:trPr>
        <w:tc>
          <w:tcPr>
            <w:vAlign w:val="center"/>
          </w:tcPr>
          <w:p w:rsidR="00000000" w:rsidDel="00000000" w:rsidP="00000000" w:rsidRDefault="00000000" w:rsidRPr="00000000" w14:paraId="00000057">
            <w:pPr>
              <w:tabs>
                <w:tab w:val="left" w:leader="none" w:pos="567"/>
              </w:tabs>
              <w:spacing w:after="60" w:lineRule="auto"/>
              <w:rPr>
                <w:i w:val="1"/>
              </w:rPr>
            </w:pPr>
            <w:r w:rsidDel="00000000" w:rsidR="00000000" w:rsidRPr="00000000">
              <w:rPr>
                <w:rtl w:val="0"/>
              </w:rPr>
              <w:t xml:space="preserve">практична настава</w:t>
            </w:r>
            <w:r w:rsidDel="00000000" w:rsidR="00000000" w:rsidRPr="00000000">
              <w:rPr>
                <w:rtl w:val="0"/>
              </w:rPr>
            </w:r>
          </w:p>
        </w:tc>
        <w:tc>
          <w:tcPr>
            <w:vAlign w:val="center"/>
          </w:tcPr>
          <w:p w:rsidR="00000000" w:rsidDel="00000000" w:rsidP="00000000" w:rsidRDefault="00000000" w:rsidRPr="00000000" w14:paraId="00000058">
            <w:pPr>
              <w:tabs>
                <w:tab w:val="left" w:leader="none" w:pos="567"/>
              </w:tabs>
              <w:spacing w:after="60" w:lineRule="auto"/>
              <w:rPr/>
            </w:pPr>
            <w:r w:rsidDel="00000000" w:rsidR="00000000" w:rsidRPr="00000000">
              <w:rPr>
                <w:rtl w:val="0"/>
              </w:rPr>
              <w:t xml:space="preserve">30</w:t>
            </w:r>
          </w:p>
        </w:tc>
        <w:tc>
          <w:tcPr>
            <w:gridSpan w:val="2"/>
            <w:shd w:fill="auto" w:val="clear"/>
            <w:vAlign w:val="center"/>
          </w:tcPr>
          <w:p w:rsidR="00000000" w:rsidDel="00000000" w:rsidP="00000000" w:rsidRDefault="00000000" w:rsidRPr="00000000" w14:paraId="00000059">
            <w:pPr>
              <w:tabs>
                <w:tab w:val="left" w:leader="none" w:pos="567"/>
              </w:tabs>
              <w:spacing w:after="60" w:lineRule="auto"/>
              <w:rPr>
                <w:i w:val="1"/>
              </w:rPr>
            </w:pPr>
            <w:r w:rsidDel="00000000" w:rsidR="00000000" w:rsidRPr="00000000">
              <w:rPr>
                <w:rtl w:val="0"/>
              </w:rPr>
              <w:t xml:space="preserve">усмени испт</w:t>
            </w:r>
            <w:r w:rsidDel="00000000" w:rsidR="00000000" w:rsidRPr="00000000">
              <w:rPr>
                <w:rtl w:val="0"/>
              </w:rPr>
            </w:r>
          </w:p>
        </w:tc>
        <w:tc>
          <w:tcPr>
            <w:shd w:fill="auto" w:val="clear"/>
            <w:vAlign w:val="center"/>
          </w:tcPr>
          <w:p w:rsidR="00000000" w:rsidDel="00000000" w:rsidP="00000000" w:rsidRDefault="00000000" w:rsidRPr="00000000" w14:paraId="0000005B">
            <w:pPr>
              <w:tabs>
                <w:tab w:val="left" w:leader="none" w:pos="567"/>
              </w:tabs>
              <w:spacing w:after="60" w:lineRule="auto"/>
              <w:rPr/>
            </w:pPr>
            <w:r w:rsidDel="00000000" w:rsidR="00000000" w:rsidRPr="00000000">
              <w:rPr>
                <w:rtl w:val="0"/>
              </w:rPr>
              <w:t xml:space="preserve">40</w:t>
            </w:r>
          </w:p>
        </w:tc>
      </w:tr>
      <w:tr>
        <w:trPr>
          <w:cantSplit w:val="0"/>
          <w:trHeight w:val="227" w:hRule="atLeast"/>
          <w:tblHeader w:val="0"/>
        </w:trPr>
        <w:tc>
          <w:tcPr>
            <w:vAlign w:val="center"/>
          </w:tcPr>
          <w:p w:rsidR="00000000" w:rsidDel="00000000" w:rsidP="00000000" w:rsidRDefault="00000000" w:rsidRPr="00000000" w14:paraId="0000005C">
            <w:pPr>
              <w:tabs>
                <w:tab w:val="left" w:leader="none" w:pos="567"/>
              </w:tabs>
              <w:spacing w:after="60" w:lineRule="auto"/>
              <w:rPr>
                <w:i w:val="1"/>
              </w:rPr>
            </w:pPr>
            <w:r w:rsidDel="00000000" w:rsidR="00000000" w:rsidRPr="00000000">
              <w:rPr>
                <w:rtl w:val="0"/>
              </w:rPr>
              <w:t xml:space="preserve">колоквијум-и</w:t>
            </w:r>
            <w:r w:rsidDel="00000000" w:rsidR="00000000" w:rsidRPr="00000000">
              <w:rPr>
                <w:rtl w:val="0"/>
              </w:rPr>
            </w:r>
          </w:p>
        </w:tc>
        <w:tc>
          <w:tcPr>
            <w:vAlign w:val="center"/>
          </w:tcPr>
          <w:p w:rsidR="00000000" w:rsidDel="00000000" w:rsidP="00000000" w:rsidRDefault="00000000" w:rsidRPr="00000000" w14:paraId="0000005D">
            <w:pPr>
              <w:tabs>
                <w:tab w:val="left" w:leader="none" w:pos="567"/>
              </w:tabs>
              <w:spacing w:after="60" w:lineRule="auto"/>
              <w:rPr/>
            </w:pPr>
            <w:r w:rsidDel="00000000" w:rsidR="00000000" w:rsidRPr="00000000">
              <w:rPr>
                <w:rtl w:val="0"/>
              </w:rPr>
            </w:r>
          </w:p>
        </w:tc>
        <w:tc>
          <w:tcPr>
            <w:gridSpan w:val="2"/>
            <w:shd w:fill="auto" w:val="clear"/>
            <w:vAlign w:val="center"/>
          </w:tcPr>
          <w:p w:rsidR="00000000" w:rsidDel="00000000" w:rsidP="00000000" w:rsidRDefault="00000000" w:rsidRPr="00000000" w14:paraId="0000005E">
            <w:pPr>
              <w:tabs>
                <w:tab w:val="left" w:leader="none" w:pos="567"/>
              </w:tabs>
              <w:spacing w:after="60" w:lineRule="auto"/>
              <w:rPr>
                <w:i w:val="1"/>
              </w:rPr>
            </w:pPr>
            <w:r w:rsidDel="00000000" w:rsidR="00000000" w:rsidRPr="00000000">
              <w:rPr>
                <w:rtl w:val="0"/>
              </w:rPr>
            </w:r>
          </w:p>
        </w:tc>
        <w:tc>
          <w:tcPr>
            <w:shd w:fill="auto" w:val="clear"/>
            <w:vAlign w:val="center"/>
          </w:tcPr>
          <w:p w:rsidR="00000000" w:rsidDel="00000000" w:rsidP="00000000" w:rsidRDefault="00000000" w:rsidRPr="00000000" w14:paraId="00000060">
            <w:pPr>
              <w:tabs>
                <w:tab w:val="left" w:leader="none" w:pos="567"/>
              </w:tabs>
              <w:spacing w:after="60" w:lineRule="auto"/>
              <w:rPr>
                <w:i w:val="1"/>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1">
            <w:pPr>
              <w:tabs>
                <w:tab w:val="left" w:leader="none" w:pos="567"/>
              </w:tabs>
              <w:spacing w:after="60" w:lineRule="auto"/>
              <w:rPr/>
            </w:pPr>
            <w:r w:rsidDel="00000000" w:rsidR="00000000" w:rsidRPr="00000000">
              <w:rPr>
                <w:rtl w:val="0"/>
              </w:rPr>
              <w:t xml:space="preserve">семинар-и</w:t>
            </w:r>
          </w:p>
        </w:tc>
        <w:tc>
          <w:tcPr>
            <w:vAlign w:val="center"/>
          </w:tcPr>
          <w:p w:rsidR="00000000" w:rsidDel="00000000" w:rsidP="00000000" w:rsidRDefault="00000000" w:rsidRPr="00000000" w14:paraId="00000062">
            <w:pPr>
              <w:tabs>
                <w:tab w:val="left" w:leader="none" w:pos="567"/>
              </w:tabs>
              <w:spacing w:after="60" w:lineRule="auto"/>
              <w:rPr/>
            </w:pPr>
            <w:r w:rsidDel="00000000" w:rsidR="00000000" w:rsidRPr="00000000">
              <w:rPr>
                <w:rtl w:val="0"/>
              </w:rPr>
              <w:t xml:space="preserve">10</w:t>
            </w:r>
          </w:p>
        </w:tc>
        <w:tc>
          <w:tcPr>
            <w:gridSpan w:val="2"/>
            <w:shd w:fill="auto" w:val="clear"/>
            <w:vAlign w:val="center"/>
          </w:tcPr>
          <w:p w:rsidR="00000000" w:rsidDel="00000000" w:rsidP="00000000" w:rsidRDefault="00000000" w:rsidRPr="00000000" w14:paraId="00000063">
            <w:pPr>
              <w:tabs>
                <w:tab w:val="left" w:leader="none" w:pos="567"/>
              </w:tabs>
              <w:spacing w:after="60" w:lineRule="auto"/>
              <w:rPr>
                <w:i w:val="1"/>
              </w:rPr>
            </w:pPr>
            <w:r w:rsidDel="00000000" w:rsidR="00000000" w:rsidRPr="00000000">
              <w:rPr>
                <w:rtl w:val="0"/>
              </w:rPr>
            </w:r>
          </w:p>
        </w:tc>
        <w:tc>
          <w:tcPr>
            <w:shd w:fill="auto" w:val="clear"/>
            <w:vAlign w:val="center"/>
          </w:tcPr>
          <w:p w:rsidR="00000000" w:rsidDel="00000000" w:rsidP="00000000" w:rsidRDefault="00000000" w:rsidRPr="00000000" w14:paraId="00000065">
            <w:pPr>
              <w:tabs>
                <w:tab w:val="left" w:leader="none" w:pos="567"/>
              </w:tabs>
              <w:spacing w:after="60" w:lineRule="auto"/>
              <w:rPr>
                <w:i w:val="1"/>
              </w:rPr>
            </w:pP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sectPr>
      <w:pgSz w:h="15840" w:w="12240" w:orient="portrait"/>
      <w:pgMar w:bottom="1440" w:top="851"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Cyrl-C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