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Водичка служба и организација тура у природи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Владимир Марковић, Др Ђорђије Васиљевић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Развијање основних сазнања о истраживању, теорији и пракси организације, водичке службе и спровођења тура у природи. Циљ предмета је усвајање свих битних фактора за успешно креирање и  управљање туристичким активностима и кретањима у природном окружењу ради унапређења туризма и животне средине, промовисања здравља и благостања, личног и групног развоја.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Познавање концепта и основних принципа вођења тура и организације туристичких активности  заснованих на природним вредностима. Овладавање садржајима за креирање, дизајнирање  и спровођење туристичких производа заснованих на усвојеним оперативним вештинама. Садржај предмета указује на круцијалне каракетистике ове сфере туризма што представља полазну основу за очекивани квалитет обављања посла како за лиценциране тако и за будуће туристичке водиче и пратиоце, као и туристичке посленике уопште.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Појам и чиниоци туризма у природи и њихов однос са осталим видовима туризма. Појам и значај природе, дивљег света, активних и авантуристичких путовања кроз мултидисциплинарну перспективу. Основне вештине у вожњи кануом или кајаком, сплаварењу, камповању, планинарењу, пешачењу, бициклизму и посматрању дивљачи. Преглед емитивних и рецептивних подручја за туризам у природи. Стратегије и методе управљања посетиоцима. Фазе планирања, креирања и вођења туристичких група. Продаја тура. Специфичност рада и послова туристичког водича. Административни и оперативни послови. Правна регулатива у туризму. Како постати туристички водич. Безбедност и процена ризика на тури.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Планирање тура, њихова припрема, реализација и евалуација. Административни и оперативни послови туристичког водича. Истраживања животне средине, теренско осматрање и тумачење метеоролошких услова и процена ризика. Анализа предметног садржаја кроз конкретне примере.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Jenkins, I. (2019). Adventure Tourism and Outdoor Activities Management, CABI. 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Штетић (2016). Водичка служба у туризму, (друго измењено и допуњено издање), ЛИ, Београд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Marković, V., Milošević, S., Kovačević, M., Matejević, M., Ponjiger. (2022): Tour leader’s role in challenging environment. International Scientific Conference "Contemporary tourism challenges", Veliko Trnovo, pp. 277-284.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1+2+0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Интерактивна настава и коришћење мултимедијалних презентација.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