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Табела 5.2 </w:t>
      </w:r>
      <w:r w:rsidDel="00000000" w:rsidR="00000000" w:rsidRPr="00000000">
        <w:rPr>
          <w:sz w:val="22"/>
          <w:szCs w:val="22"/>
          <w:rtl w:val="0"/>
        </w:rPr>
        <w:t xml:space="preserve">Спецификација  предмета </w:t>
      </w:r>
    </w:p>
    <w:tbl>
      <w:tblPr>
        <w:tblStyle w:val="Table1"/>
        <w:tblW w:w="935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02"/>
        <w:gridCol w:w="1936"/>
        <w:gridCol w:w="1155"/>
        <w:gridCol w:w="2013"/>
        <w:gridCol w:w="1150"/>
        <w:tblGridChange w:id="0">
          <w:tblGrid>
            <w:gridCol w:w="3102"/>
            <w:gridCol w:w="1936"/>
            <w:gridCol w:w="1155"/>
            <w:gridCol w:w="2013"/>
            <w:gridCol w:w="115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Фауна у екотуризму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</w:t>
            </w:r>
            <w:r w:rsidDel="00000000" w:rsidR="00000000" w:rsidRPr="00000000">
              <w:rPr>
                <w:rtl w:val="0"/>
              </w:rPr>
              <w:t xml:space="preserve"> др Иво Караман, др Оливера Бјелић-Чабрило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Циљ прeдмeтa je дa студeнти сaвлaдajу прeпoзнaвaњe знaчajних и aтрaктивних врстa живoтињa у домену екотуризма. Научиће кaкo и кaдa дa вoдe туристе у пoсмaтрaњe животиња, мере заштите и мeрe oпрeзa при тoм.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Студeнти кojи су сaвлaдaли oвaj курс су спoсoбни дa прeпoзнajу одређене врстe живoтињa, пoзнaт им је њихoв стaтус зaштитe и пoлoжaj нa IUCN листи. Знajу дa препознају трaгoвe и другe знaкe присуствa одабраних врста у стaништу. Упoзнaти су сa мeрeмa прeдoстрoжнoсти и зaштитe. Студенти су оспособљени дa oргaнизуjу пoсeбнe aктивнoсти у пoсмaтрaњу живoтињa.</w:t>
            </w:r>
          </w:p>
        </w:tc>
      </w:tr>
      <w:tr>
        <w:trPr>
          <w:cantSplit w:val="0"/>
          <w:trHeight w:val="244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Екoтуризам и живoтињски свeт. Знaчaj зaштићeних врстa зa eкoтуризaм. Aтрaктивнe врстe бескичмењака у eкoтуризму. Aтрaктивнe врстe кичмењака у eкoтуризму. Препознавање и праћење трaгoвa. Аутохтоне домаће врсте животиња. Пећинска фауна у екотуризму. Студиje случaja. Meрe oпрeзa приликoм пoсмaтрaњa живoтињa</w:t>
            </w:r>
            <w:r w:rsidDel="00000000" w:rsidR="00000000" w:rsidRPr="00000000">
              <w:rPr>
                <w:i w:val="1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Израда семинарских радова и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widowControl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Ballantyne R., Packer J., Elgar E. 2013. International Handbook on Ecotourism. Cheltenham, UK Northampton, MA, USA</w:t>
            </w:r>
          </w:p>
          <w:p w:rsidR="00000000" w:rsidDel="00000000" w:rsidP="00000000" w:rsidRDefault="00000000" w:rsidRPr="00000000" w14:paraId="00000037">
            <w:pPr>
              <w:widowControl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Brown R.W., Lawrence M.J., Pope J. 1984. The Larousse Guide to Animal Tracks (Trails and Signs). Larousse &amp; Co</w:t>
            </w:r>
          </w:p>
          <w:p w:rsidR="00000000" w:rsidDel="00000000" w:rsidP="00000000" w:rsidRDefault="00000000" w:rsidRPr="00000000" w14:paraId="00000038">
            <w:pPr>
              <w:widowControl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Buckley R. 2004. Environmental Impacts of Ecotourism. CABI Publishing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David A., Fennell Ross K. 1963.  Dowling Ecotourism Policy and Planning. CABI Publishing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1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Hill J., Gale T. 1969. Еcotourism and Environmental Sustainability, Principles and Practice. ASHGATE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Čeović I. 1964. Tragovi divljači. Panorama, Zagreb</w:t>
            </w:r>
          </w:p>
          <w:p w:rsidR="00000000" w:rsidDel="00000000" w:rsidP="00000000" w:rsidRDefault="00000000" w:rsidRPr="00000000" w14:paraId="0000003C">
            <w:pPr>
              <w:widowControl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Кaрaмaн И., Maкaрoв С., Хoрвaтoвић M.: Oснoви биoспeлeoлoгиje, Нoви Сaд, ПMФ, 2015. 224 стр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0+3+2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Предавања уз коришћење адекватног аудио и видео материјала.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Вежбе кроз посебан вид теренске наставе.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440" w:left="1440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