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8"/>
          <w:szCs w:val="18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8"/>
          <w:szCs w:val="18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613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851"/>
        <w:gridCol w:w="283"/>
        <w:gridCol w:w="172"/>
        <w:gridCol w:w="1529"/>
        <w:gridCol w:w="1312"/>
        <w:gridCol w:w="247"/>
        <w:gridCol w:w="141"/>
        <w:gridCol w:w="851"/>
        <w:gridCol w:w="338"/>
        <w:gridCol w:w="512"/>
        <w:gridCol w:w="709"/>
        <w:gridCol w:w="567"/>
        <w:gridCol w:w="1392"/>
        <w:tblGridChange w:id="0">
          <w:tblGrid>
            <w:gridCol w:w="709"/>
            <w:gridCol w:w="851"/>
            <w:gridCol w:w="283"/>
            <w:gridCol w:w="172"/>
            <w:gridCol w:w="1529"/>
            <w:gridCol w:w="1312"/>
            <w:gridCol w:w="247"/>
            <w:gridCol w:w="141"/>
            <w:gridCol w:w="851"/>
            <w:gridCol w:w="338"/>
            <w:gridCol w:w="512"/>
            <w:gridCol w:w="709"/>
            <w:gridCol w:w="567"/>
            <w:gridCol w:w="1392"/>
          </w:tblGrid>
        </w:tblGridChange>
      </w:tblGrid>
      <w:tr>
        <w:trPr>
          <w:cantSplit w:val="0"/>
          <w:trHeight w:val="242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Александра Драгин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факултет, Департман за географију, туризам и хотелијерство, oд 06.09.2018. </w:t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199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 област</w:t>
            </w:r>
          </w:p>
        </w:tc>
      </w:tr>
      <w:tr>
        <w:trPr>
          <w:cantSplit w:val="0"/>
          <w:trHeight w:val="23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2018.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2008.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2005.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ДГТХ, ПМФ, Нови Сад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    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студ.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17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Т108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ind w:left="-61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Култура и комуникација у туризму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Т358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ind w:left="-61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Селективни облици туризма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13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Т216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ind w:left="-61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Теренска настава 2т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Теренска настава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4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Т334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ind w:left="-61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Наутички туризам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МТ101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tabs>
                <w:tab w:val="left" w:leader="none" w:pos="567"/>
              </w:tabs>
              <w:ind w:left="-61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Етика у туризму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Г408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ind w:left="-61" w:right="-162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Интернет у настави географије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MKT106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ind w:left="-61" w:right="-162" w:firstLine="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Интеркултурална комуникација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Stojanović, V., Mijatov, M., Dunjić, J., Lazić, L.,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Dragin,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., Milić, D., Obradović, S. (2021). Ecotourism impact assessment on environment in protected areas of Serbia: A case study of Gornje Podunavlje Special Nature Reserve. Geographica Pannonica, 25(3), 157-167. doi: 10.5937/gp25-32288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Stojanović, V.,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Dragin, 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. (2019): Lokalni akcioni plan za Specijalni rezervatprirode „Karađorđevo“. COOP MDD - Transboundary Management Programme for the planned 5-country Biosphere Reserve “Mura-Drava-Danube”(Interreg Danube Transnational Programme).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Dragin, A. 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Jovanović, T., Mijatov, M., Majstorović, N., Dragin, V. (2019): Types and factors of ethical climate perception in Serbian tourism industry, Journal of East European Management Studies, Operationalising Corporate Social Responsibility and Business Ethics in the Central and Eastern Europe - Special Issue, December, 63-98 pp. DOI: 10.5771/9783845298696-63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Jovanovic,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Dragin, A.S.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Ivanovic-Bibic, Lj., Ivkov-Dzigurski, A., Ristanovic, B. (2018): Pupils’ Perception of Cognitive Advantages of Internet Usage while Teaching Geography in Primary and Secondary Schools. Zbornik radova Geografskog fakulteta u Beogradu, 66 (2), 5-22.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Пивац, Т.,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Драгин, 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Драгићевић, В., Васиљевић, Ђ. (2016): Селективни облици туризма - Примери добре праксе у свету и стање у Републици Србији, Универзитет у Новом Саду, Природно-математички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Драгин, 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(2015): Култура и комуникација. Природно-математички факултет – Департман за географију, туризам и хотелијерство, Нови Сад (1-130).</w:t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Dragin,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, Đurđev, B., Armenski, T., Jovanović, T., Pavić, D., Ivkov-Džigurski, A. Košić, K., Favro, S. (2014): Analysis of the Labor Force Composition on Cruisers: the Danube Through Central and Southeast Europe. Journal of Transport Geography, 39, 62-72.ISSN: 0966-6923.</w:t>
            </w:r>
          </w:p>
        </w:tc>
      </w:tr>
      <w:tr>
        <w:trPr>
          <w:cantSplit w:val="0"/>
          <w:trHeight w:val="8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Đerčan B., Bubalo Živković, M., Gatarić, D.,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Dragin, 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et al. (2022). Experienced Well-being in the Rural Areas of the Srem Region (Serbia): Perceptions of the Local Community. Sustainability, Special Issue: Sustainable Countryside Perspectives – Cohesion between Rural Geography and Tourism. In press.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u w:val="single"/>
                  <w:rtl w:val="0"/>
                </w:rPr>
                <w:t xml:space="preserve">https://doi.org/10.3390/su14010248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 ISSN 2071-1050.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8"/>
                <w:szCs w:val="18"/>
                <w:highlight w:val="white"/>
                <w:rtl w:val="0"/>
              </w:rPr>
              <w:t xml:space="preserve">95 (SCOPUS)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5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15</w:t>
            </w:r>
          </w:p>
        </w:tc>
      </w:tr>
      <w:tr>
        <w:trPr>
          <w:cantSplit w:val="0"/>
          <w:trHeight w:val="152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B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пројектима: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Међународни. 1</w:t>
            </w:r>
          </w:p>
        </w:tc>
      </w:tr>
      <w:tr>
        <w:trPr>
          <w:cantSplit w:val="0"/>
          <w:trHeight w:val="19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2"/>
            <w:vAlign w:val="center"/>
          </w:tcPr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Teaching mobility (ERASMUS+): Универзитет у Алкали (Шпанија): 2019. и 2021.</w:t>
            </w:r>
          </w:p>
          <w:p w:rsidR="00000000" w:rsidDel="00000000" w:rsidP="00000000" w:rsidRDefault="00000000" w:rsidRPr="00000000" w14:paraId="000001C5">
            <w:pPr>
              <w:ind w:left="1832" w:firstLine="0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Универзитет у Уломоуцу (Чешка): 2021.</w:t>
            </w:r>
          </w:p>
          <w:p w:rsidR="00000000" w:rsidDel="00000000" w:rsidP="00000000" w:rsidRDefault="00000000" w:rsidRPr="00000000" w14:paraId="000001C6">
            <w:pPr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Training mobility (ERASMUS+): Université Paris-Est Créteil Val de Marne (UPEC) (Француска), 2019. </w:t>
            </w:r>
          </w:p>
        </w:tc>
      </w:tr>
    </w:tbl>
    <w:p w:rsidR="00000000" w:rsidDel="00000000" w:rsidP="00000000" w:rsidRDefault="00000000" w:rsidRPr="00000000" w14:paraId="000001D2">
      <w:pPr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rPr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134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i.org/10.3390/su1401024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