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i w:val="1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14"/>
          <w:szCs w:val="14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14"/>
          <w:szCs w:val="14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9472.0" w:type="dxa"/>
        <w:jc w:val="left"/>
        <w:tblInd w:w="-6.999999999999993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  <w:tblGridChange w:id="0">
          <w:tblGrid>
            <w:gridCol w:w="709"/>
            <w:gridCol w:w="1134"/>
            <w:gridCol w:w="172"/>
            <w:gridCol w:w="880"/>
            <w:gridCol w:w="649"/>
            <w:gridCol w:w="992"/>
            <w:gridCol w:w="320"/>
            <w:gridCol w:w="247"/>
            <w:gridCol w:w="837"/>
            <w:gridCol w:w="214"/>
            <w:gridCol w:w="138"/>
            <w:gridCol w:w="1475"/>
            <w:gridCol w:w="783"/>
            <w:gridCol w:w="922"/>
          </w:tblGrid>
        </w:tblGridChange>
      </w:tblGrid>
      <w:tr>
        <w:trPr>
          <w:cantSplit w:val="0"/>
          <w:trHeight w:val="22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Име и презиме 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0A">
            <w:pPr>
              <w:keepNext w:val="1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Ђорђије Васиљевић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Звање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39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Природно-математички факултет, Департман за географију, туризам и хотелијерство, 01.10.2020.</w:t>
            </w:r>
          </w:p>
        </w:tc>
      </w:tr>
      <w:tr>
        <w:trPr>
          <w:cantSplit w:val="0"/>
          <w:trHeight w:val="215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</w:tcPr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332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Година 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06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Избор у звање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2020.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Геоекологија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Геоекологија</w:t>
            </w:r>
          </w:p>
        </w:tc>
      </w:tr>
      <w:tr>
        <w:trPr>
          <w:cantSplit w:val="0"/>
          <w:trHeight w:val="134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Докторат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2015.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Геонауке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Магистратура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2008.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188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2006.</w:t>
            </w:r>
          </w:p>
        </w:tc>
        <w:tc>
          <w:tcPr>
            <w:gridSpan w:val="5"/>
            <w:shd w:fill="auto" w:val="clear"/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Департман за географију, туризам и хотелијерство, ПМФ, Нови Сад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Ознака предмета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Вид наставе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ДГ603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Интерпретација природног и културног наслеђа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географ, 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ДГ602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BC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Мониторинг и управљање постиоцима у природним подручјима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38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ГЕ406</w:t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Заштита и конзервација геонаслеђа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географ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7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ОАС</w:t>
            </w:r>
          </w:p>
        </w:tc>
      </w:tr>
      <w:tr>
        <w:trPr>
          <w:cantSplit w:val="0"/>
          <w:trHeight w:val="26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Селективни облици туризма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3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Информационе технологије у туризму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51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Т341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Манифестациони туризам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Т338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Вински туризам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Дипломирани туризмолог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ОАС</w:t>
            </w:r>
          </w:p>
        </w:tc>
      </w:tr>
      <w:tr>
        <w:trPr>
          <w:cantSplit w:val="0"/>
          <w:trHeight w:val="29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MKT102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Информационе технологије и системи у културном туризму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Управљање културним туризмом и културним наслеђем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E">
            <w:pPr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МАС</w:t>
            </w:r>
          </w:p>
        </w:tc>
      </w:tr>
      <w:tr>
        <w:trPr>
          <w:cantSplit w:val="0"/>
          <w:trHeight w:val="17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9.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MKT103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Пројектни менаџмент у културном туризму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Предавања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Вежбе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Управљање културним туризмом и културним наслеђем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Đ.,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Began, M., Vujičić, M., Hose, T., Stankov, U.. 2021. “Does Geosite Interpretation Lead to Conservation? A Case Study of the Sićevo Gorge (Serbia)”. Acta Geographica Slovenica 61 (2). 7-21. https://doi.org/10.3986/AGS.8753.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D.A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., Vujičić, M.D., Bozić, S., Jovanović, T., Marković, S.B., Basarin, B., Lukić, T., Carkadzić, J. (2018) Trying to underline geotourist profile of National park visitors: Case study of NP Fruška Gora, Serbia (Typology of potential geotourists at NP Fruška Gora). Open Geosciences 10/1, 222-233.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8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Vujičić, M.D.,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Hose, T.A., Tasić, N., Morar, C., Durić, A., Marković, S.B. (2018) A multi-criteria decision analysis with special reference to loess and archaeological sites in Serbia (Could geosciences and archaeology cohabitate?) Open Geosciences 10/1, 333-343.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6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Micić Ponjiger, T.,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Ð.A.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et al. Quantitative Geodiversity Assessment of the Fruška Gora Mt. (North Serbia) by Using the Geodiversity Index. Geoheritage 13, 61 (2021). https://doi.org/10.1007/s12371-021-00572-w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2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Hose, T.A.,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Dj.A.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(2016). Protecting and Promoting the Geoheritage of South-East Europe. In T.A. Hose (Ed.), Geoheritage and Geotourism: A European Perspective (pp. 173-194). New York: Boydell &amp; Brewer.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0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S.B., Vujičić, M.D. (2016) Appreciating loess landscapes through history: the basis of modern loess geotourism in the Vojvodina region of North Serbia. Geological Society Special Publication 417/1, 229-239.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Dj. 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S.B., Hose, T.A., Smalley, I., O’Hara-Dhand, K., Basarin, B., Lukić, T., Vujičić, M.D. (2011b): Loess towards (geo) tourism – proposed application on loess in Vojvodina region (north Serbia). Acta geographica Slovenica. 51-3, 2011, 391-406.</w:t>
            </w:r>
          </w:p>
        </w:tc>
      </w:tr>
      <w:tr>
        <w:trPr>
          <w:cantSplit w:val="0"/>
          <w:trHeight w:val="30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C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Vujičić, M.D.,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S.B., Hose, T.A., Lukić, T., Hadžić, O., Janićević, S. (2011): Preliminary geosite assessment model (GAM) and its application on Fruška Gora mountain, potential geotourism destination of Serbia. Acta geographica Slovenica. 51-3, 361-376.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BA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Vasiljević, Dj.A.,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  <w:rtl w:val="0"/>
              </w:rPr>
              <w:t xml:space="preserve"> Marković, S.B., Hose, T.A., Ding, Z., Guo, Z., Liu, X., Smalley, I., Lukić, T., Vujičić., M.D. (2014): Loess–palaeosol sequences in China and Europe: Common values and geoconservation issues. Catena 117, 108-118.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4"/>
                <w:szCs w:val="14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цитата (SCOPUS)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808</w:t>
            </w:r>
          </w:p>
        </w:tc>
      </w:tr>
      <w:tr>
        <w:trPr>
          <w:cantSplit w:val="0"/>
          <w:trHeight w:val="71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E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E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31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F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F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Домаћи: -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Међународни: 4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20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20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72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