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leader="none" w:pos="567"/>
        </w:tabs>
        <w:spacing w:after="60" w:lineRule="auto"/>
        <w:jc w:val="both"/>
        <w:rPr>
          <w:rFonts w:ascii="Times New Roman" w:cs="Times New Roman" w:eastAsia="Times New Roman" w:hAnsi="Times New Roman"/>
          <w:i w:val="1"/>
          <w:sz w:val="14"/>
          <w:szCs w:val="14"/>
        </w:rPr>
      </w:pPr>
      <w:r w:rsidDel="00000000" w:rsidR="00000000" w:rsidRPr="00000000">
        <w:rPr>
          <w:rFonts w:ascii="Times New Roman" w:cs="Times New Roman" w:eastAsia="Times New Roman" w:hAnsi="Times New Roman"/>
          <w:b w:val="1"/>
          <w:i w:val="1"/>
          <w:sz w:val="14"/>
          <w:szCs w:val="14"/>
          <w:rtl w:val="0"/>
        </w:rPr>
        <w:t xml:space="preserve">Табела 9.1.</w:t>
      </w:r>
      <w:r w:rsidDel="00000000" w:rsidR="00000000" w:rsidRPr="00000000">
        <w:rPr>
          <w:rFonts w:ascii="Times New Roman" w:cs="Times New Roman" w:eastAsia="Times New Roman" w:hAnsi="Times New Roman"/>
          <w:i w:val="1"/>
          <w:sz w:val="14"/>
          <w:szCs w:val="14"/>
          <w:rtl w:val="0"/>
        </w:rPr>
        <w:t xml:space="preserve"> Научне, уметничке и стручне квалификације наставника и задужења у настави</w:t>
      </w:r>
    </w:p>
    <w:tbl>
      <w:tblPr>
        <w:tblStyle w:val="Table1"/>
        <w:tblW w:w="9472.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9"/>
        <w:gridCol w:w="1134"/>
        <w:gridCol w:w="172"/>
        <w:gridCol w:w="880"/>
        <w:gridCol w:w="649"/>
        <w:gridCol w:w="992"/>
        <w:gridCol w:w="320"/>
        <w:gridCol w:w="247"/>
        <w:gridCol w:w="837"/>
        <w:gridCol w:w="214"/>
        <w:gridCol w:w="138"/>
        <w:gridCol w:w="1475"/>
        <w:gridCol w:w="783"/>
        <w:gridCol w:w="922"/>
        <w:tblGridChange w:id="0">
          <w:tblGrid>
            <w:gridCol w:w="709"/>
            <w:gridCol w:w="1134"/>
            <w:gridCol w:w="172"/>
            <w:gridCol w:w="880"/>
            <w:gridCol w:w="649"/>
            <w:gridCol w:w="992"/>
            <w:gridCol w:w="320"/>
            <w:gridCol w:w="247"/>
            <w:gridCol w:w="837"/>
            <w:gridCol w:w="214"/>
            <w:gridCol w:w="138"/>
            <w:gridCol w:w="1475"/>
            <w:gridCol w:w="783"/>
            <w:gridCol w:w="922"/>
          </w:tblGrid>
        </w:tblGridChange>
      </w:tblGrid>
      <w:tr>
        <w:trPr>
          <w:cantSplit w:val="0"/>
          <w:trHeight w:val="224" w:hRule="atLeast"/>
          <w:tblHeader w:val="0"/>
        </w:trPr>
        <w:tc>
          <w:tcPr>
            <w:gridSpan w:val="8"/>
            <w:vAlign w:val="center"/>
          </w:tcPr>
          <w:p w:rsidR="00000000" w:rsidDel="00000000" w:rsidP="00000000" w:rsidRDefault="00000000" w:rsidRPr="00000000" w14:paraId="00000002">
            <w:pPr>
              <w:tabs>
                <w:tab w:val="left" w:leader="none" w:pos="567"/>
              </w:tabs>
              <w:spacing w:after="60" w:lineRule="auto"/>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Име и презиме </w:t>
            </w:r>
          </w:p>
        </w:tc>
        <w:tc>
          <w:tcPr>
            <w:gridSpan w:val="6"/>
          </w:tcPr>
          <w:p w:rsidR="00000000" w:rsidDel="00000000" w:rsidP="00000000" w:rsidRDefault="00000000" w:rsidRPr="00000000" w14:paraId="0000000A">
            <w:pPr>
              <w:keepNext w:val="1"/>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Мирослав Д. Вујичић</w:t>
            </w:r>
          </w:p>
        </w:tc>
      </w:tr>
      <w:tr>
        <w:trPr>
          <w:cantSplit w:val="0"/>
          <w:trHeight w:val="170" w:hRule="atLeast"/>
          <w:tblHeader w:val="0"/>
        </w:trPr>
        <w:tc>
          <w:tcPr>
            <w:gridSpan w:val="8"/>
            <w:vAlign w:val="center"/>
          </w:tcPr>
          <w:p w:rsidR="00000000" w:rsidDel="00000000" w:rsidP="00000000" w:rsidRDefault="00000000" w:rsidRPr="00000000" w14:paraId="00000010">
            <w:pPr>
              <w:tabs>
                <w:tab w:val="left" w:leader="none" w:pos="567"/>
              </w:tabs>
              <w:spacing w:after="60" w:lineRule="auto"/>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Звање</w:t>
            </w:r>
          </w:p>
        </w:tc>
        <w:tc>
          <w:tcPr>
            <w:gridSpan w:val="6"/>
          </w:tcPr>
          <w:p w:rsidR="00000000" w:rsidDel="00000000" w:rsidP="00000000" w:rsidRDefault="00000000" w:rsidRPr="00000000" w14:paraId="00000018">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Ванредни професор</w:t>
            </w:r>
          </w:p>
        </w:tc>
      </w:tr>
      <w:tr>
        <w:trPr>
          <w:cantSplit w:val="0"/>
          <w:trHeight w:val="395" w:hRule="atLeast"/>
          <w:tblHeader w:val="0"/>
        </w:trPr>
        <w:tc>
          <w:tcPr>
            <w:gridSpan w:val="8"/>
            <w:vAlign w:val="center"/>
          </w:tcPr>
          <w:p w:rsidR="00000000" w:rsidDel="00000000" w:rsidP="00000000" w:rsidRDefault="00000000" w:rsidRPr="00000000" w14:paraId="0000001E">
            <w:pPr>
              <w:tabs>
                <w:tab w:val="left" w:leader="none" w:pos="567"/>
              </w:tabs>
              <w:spacing w:after="60" w:lineRule="auto"/>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Назив институције у  којој наставник ради са пуним  или непуним радним временом и од када</w:t>
            </w:r>
          </w:p>
        </w:tc>
        <w:tc>
          <w:tcPr>
            <w:gridSpan w:val="6"/>
          </w:tcPr>
          <w:p w:rsidR="00000000" w:rsidDel="00000000" w:rsidP="00000000" w:rsidRDefault="00000000" w:rsidRPr="00000000" w14:paraId="00000026">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Природно-математички факултет, Департман за географију, туризам и хотелијерство, од 2011. године.</w:t>
            </w:r>
          </w:p>
        </w:tc>
      </w:tr>
      <w:tr>
        <w:trPr>
          <w:cantSplit w:val="0"/>
          <w:trHeight w:val="215" w:hRule="atLeast"/>
          <w:tblHeader w:val="0"/>
        </w:trPr>
        <w:tc>
          <w:tcPr>
            <w:gridSpan w:val="8"/>
            <w:vAlign w:val="center"/>
          </w:tcPr>
          <w:p w:rsidR="00000000" w:rsidDel="00000000" w:rsidP="00000000" w:rsidRDefault="00000000" w:rsidRPr="00000000" w14:paraId="0000002C">
            <w:pPr>
              <w:tabs>
                <w:tab w:val="left" w:leader="none" w:pos="567"/>
              </w:tabs>
              <w:spacing w:after="60" w:lineRule="auto"/>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Ужа научна односно уметничка област</w:t>
            </w:r>
          </w:p>
        </w:tc>
        <w:tc>
          <w:tcPr>
            <w:gridSpan w:val="6"/>
          </w:tcPr>
          <w:p w:rsidR="00000000" w:rsidDel="00000000" w:rsidP="00000000" w:rsidRDefault="00000000" w:rsidRPr="00000000" w14:paraId="00000034">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Туризам</w:t>
            </w:r>
          </w:p>
        </w:tc>
      </w:tr>
      <w:tr>
        <w:trPr>
          <w:cantSplit w:val="0"/>
          <w:trHeight w:val="206" w:hRule="atLeast"/>
          <w:tblHeader w:val="0"/>
        </w:trPr>
        <w:tc>
          <w:tcPr>
            <w:gridSpan w:val="14"/>
            <w:vAlign w:val="center"/>
          </w:tcPr>
          <w:p w:rsidR="00000000" w:rsidDel="00000000" w:rsidP="00000000" w:rsidRDefault="00000000" w:rsidRPr="00000000" w14:paraId="0000003A">
            <w:pPr>
              <w:tabs>
                <w:tab w:val="left" w:leader="none" w:pos="567"/>
              </w:tabs>
              <w:spacing w:after="60" w:lineRule="auto"/>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Академска каријера</w:t>
            </w:r>
          </w:p>
        </w:tc>
      </w:tr>
      <w:tr>
        <w:trPr>
          <w:cantSplit w:val="0"/>
          <w:trHeight w:val="332" w:hRule="atLeast"/>
          <w:tblHeader w:val="0"/>
        </w:trPr>
        <w:tc>
          <w:tcPr>
            <w:gridSpan w:val="3"/>
            <w:vAlign w:val="center"/>
          </w:tcPr>
          <w:p w:rsidR="00000000" w:rsidDel="00000000" w:rsidP="00000000" w:rsidRDefault="00000000" w:rsidRPr="00000000" w14:paraId="00000048">
            <w:pPr>
              <w:tabs>
                <w:tab w:val="left" w:leader="none" w:pos="567"/>
              </w:tabs>
              <w:spacing w:after="60" w:lineRule="auto"/>
              <w:rPr>
                <w:rFonts w:ascii="Times New Roman" w:cs="Times New Roman" w:eastAsia="Times New Roman" w:hAnsi="Times New Roman"/>
                <w:sz w:val="14"/>
                <w:szCs w:val="14"/>
              </w:rPr>
            </w:pPr>
            <w:r w:rsidDel="00000000" w:rsidR="00000000" w:rsidRPr="00000000">
              <w:rPr>
                <w:rtl w:val="0"/>
              </w:rPr>
            </w:r>
          </w:p>
        </w:tc>
        <w:tc>
          <w:tcPr>
            <w:gridSpan w:val="2"/>
            <w:vAlign w:val="center"/>
          </w:tcPr>
          <w:p w:rsidR="00000000" w:rsidDel="00000000" w:rsidP="00000000" w:rsidRDefault="00000000" w:rsidRPr="00000000" w14:paraId="0000004B">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Година </w:t>
            </w:r>
          </w:p>
        </w:tc>
        <w:tc>
          <w:tcPr>
            <w:gridSpan w:val="5"/>
            <w:shd w:fill="auto" w:val="clear"/>
            <w:vAlign w:val="center"/>
          </w:tcPr>
          <w:p w:rsidR="00000000" w:rsidDel="00000000" w:rsidP="00000000" w:rsidRDefault="00000000" w:rsidRPr="00000000" w14:paraId="0000004D">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Институција </w:t>
            </w:r>
          </w:p>
        </w:tc>
        <w:tc>
          <w:tcPr>
            <w:gridSpan w:val="2"/>
            <w:shd w:fill="auto" w:val="clear"/>
            <w:vAlign w:val="center"/>
          </w:tcPr>
          <w:p w:rsidR="00000000" w:rsidDel="00000000" w:rsidP="00000000" w:rsidRDefault="00000000" w:rsidRPr="00000000" w14:paraId="00000052">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Научна или уметничка област </w:t>
            </w:r>
          </w:p>
        </w:tc>
        <w:tc>
          <w:tcPr>
            <w:gridSpan w:val="2"/>
            <w:shd w:fill="auto" w:val="clear"/>
            <w:vAlign w:val="center"/>
          </w:tcPr>
          <w:p w:rsidR="00000000" w:rsidDel="00000000" w:rsidP="00000000" w:rsidRDefault="00000000" w:rsidRPr="00000000" w14:paraId="00000054">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Ужа научна, уметничка или стручна област</w:t>
            </w:r>
          </w:p>
        </w:tc>
      </w:tr>
      <w:tr>
        <w:trPr>
          <w:cantSplit w:val="0"/>
          <w:trHeight w:val="206" w:hRule="atLeast"/>
          <w:tblHeader w:val="0"/>
        </w:trPr>
        <w:tc>
          <w:tcPr>
            <w:gridSpan w:val="3"/>
            <w:vAlign w:val="center"/>
          </w:tcPr>
          <w:p w:rsidR="00000000" w:rsidDel="00000000" w:rsidP="00000000" w:rsidRDefault="00000000" w:rsidRPr="00000000" w14:paraId="00000056">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Избор у звање</w:t>
            </w:r>
          </w:p>
        </w:tc>
        <w:tc>
          <w:tcPr>
            <w:gridSpan w:val="2"/>
          </w:tcPr>
          <w:p w:rsidR="00000000" w:rsidDel="00000000" w:rsidP="00000000" w:rsidRDefault="00000000" w:rsidRPr="00000000" w14:paraId="00000059">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2020.</w:t>
            </w:r>
          </w:p>
        </w:tc>
        <w:tc>
          <w:tcPr>
            <w:gridSpan w:val="5"/>
            <w:shd w:fill="auto" w:val="clear"/>
          </w:tcPr>
          <w:p w:rsidR="00000000" w:rsidDel="00000000" w:rsidP="00000000" w:rsidRDefault="00000000" w:rsidRPr="00000000" w14:paraId="0000005B">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ДГТХ, ПМФ, Нови Сад</w:t>
            </w:r>
          </w:p>
        </w:tc>
        <w:tc>
          <w:tcPr>
            <w:gridSpan w:val="2"/>
            <w:shd w:fill="auto" w:val="clear"/>
          </w:tcPr>
          <w:p w:rsidR="00000000" w:rsidDel="00000000" w:rsidP="00000000" w:rsidRDefault="00000000" w:rsidRPr="00000000" w14:paraId="00000060">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Туризам</w:t>
            </w:r>
          </w:p>
        </w:tc>
        <w:tc>
          <w:tcPr>
            <w:gridSpan w:val="2"/>
            <w:shd w:fill="auto" w:val="clear"/>
          </w:tcPr>
          <w:p w:rsidR="00000000" w:rsidDel="00000000" w:rsidP="00000000" w:rsidRDefault="00000000" w:rsidRPr="00000000" w14:paraId="00000062">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Туризам</w:t>
            </w:r>
          </w:p>
        </w:tc>
      </w:tr>
      <w:tr>
        <w:trPr>
          <w:cantSplit w:val="0"/>
          <w:trHeight w:val="134" w:hRule="atLeast"/>
          <w:tblHeader w:val="0"/>
        </w:trPr>
        <w:tc>
          <w:tcPr>
            <w:gridSpan w:val="3"/>
            <w:vAlign w:val="center"/>
          </w:tcPr>
          <w:p w:rsidR="00000000" w:rsidDel="00000000" w:rsidP="00000000" w:rsidRDefault="00000000" w:rsidRPr="00000000" w14:paraId="00000064">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Докторат</w:t>
            </w:r>
          </w:p>
        </w:tc>
        <w:tc>
          <w:tcPr>
            <w:gridSpan w:val="2"/>
          </w:tcPr>
          <w:p w:rsidR="00000000" w:rsidDel="00000000" w:rsidP="00000000" w:rsidRDefault="00000000" w:rsidRPr="00000000" w14:paraId="00000067">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2015.</w:t>
            </w:r>
          </w:p>
        </w:tc>
        <w:tc>
          <w:tcPr>
            <w:gridSpan w:val="5"/>
            <w:shd w:fill="auto" w:val="clear"/>
          </w:tcPr>
          <w:p w:rsidR="00000000" w:rsidDel="00000000" w:rsidP="00000000" w:rsidRDefault="00000000" w:rsidRPr="00000000" w14:paraId="00000069">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ДГТХ, ПМФ, Нови Сад</w:t>
            </w:r>
          </w:p>
        </w:tc>
        <w:tc>
          <w:tcPr>
            <w:gridSpan w:val="2"/>
            <w:shd w:fill="auto" w:val="clear"/>
          </w:tcPr>
          <w:p w:rsidR="00000000" w:rsidDel="00000000" w:rsidP="00000000" w:rsidRDefault="00000000" w:rsidRPr="00000000" w14:paraId="0000006E">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Туризам</w:t>
            </w:r>
          </w:p>
        </w:tc>
        <w:tc>
          <w:tcPr>
            <w:gridSpan w:val="2"/>
            <w:shd w:fill="auto" w:val="clear"/>
          </w:tcPr>
          <w:p w:rsidR="00000000" w:rsidDel="00000000" w:rsidP="00000000" w:rsidRDefault="00000000" w:rsidRPr="00000000" w14:paraId="00000070">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Туризам</w:t>
            </w:r>
          </w:p>
        </w:tc>
      </w:tr>
      <w:tr>
        <w:trPr>
          <w:cantSplit w:val="0"/>
          <w:trHeight w:val="170" w:hRule="atLeast"/>
          <w:tblHeader w:val="0"/>
        </w:trPr>
        <w:tc>
          <w:tcPr>
            <w:gridSpan w:val="3"/>
            <w:vAlign w:val="center"/>
          </w:tcPr>
          <w:p w:rsidR="00000000" w:rsidDel="00000000" w:rsidP="00000000" w:rsidRDefault="00000000" w:rsidRPr="00000000" w14:paraId="00000072">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Мастер</w:t>
            </w:r>
          </w:p>
        </w:tc>
        <w:tc>
          <w:tcPr>
            <w:gridSpan w:val="2"/>
          </w:tcPr>
          <w:p w:rsidR="00000000" w:rsidDel="00000000" w:rsidP="00000000" w:rsidRDefault="00000000" w:rsidRPr="00000000" w14:paraId="00000075">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2009.</w:t>
            </w:r>
          </w:p>
        </w:tc>
        <w:tc>
          <w:tcPr>
            <w:gridSpan w:val="5"/>
            <w:shd w:fill="auto" w:val="clear"/>
          </w:tcPr>
          <w:p w:rsidR="00000000" w:rsidDel="00000000" w:rsidP="00000000" w:rsidRDefault="00000000" w:rsidRPr="00000000" w14:paraId="00000077">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ДГТХ, ПМФ, Нови Сад</w:t>
            </w:r>
          </w:p>
        </w:tc>
        <w:tc>
          <w:tcPr>
            <w:gridSpan w:val="2"/>
            <w:shd w:fill="auto" w:val="clear"/>
          </w:tcPr>
          <w:p w:rsidR="00000000" w:rsidDel="00000000" w:rsidP="00000000" w:rsidRDefault="00000000" w:rsidRPr="00000000" w14:paraId="0000007C">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Туризам</w:t>
            </w:r>
          </w:p>
        </w:tc>
        <w:tc>
          <w:tcPr>
            <w:gridSpan w:val="2"/>
            <w:shd w:fill="auto" w:val="clear"/>
          </w:tcPr>
          <w:p w:rsidR="00000000" w:rsidDel="00000000" w:rsidP="00000000" w:rsidRDefault="00000000" w:rsidRPr="00000000" w14:paraId="0000007E">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Туризам</w:t>
            </w:r>
          </w:p>
        </w:tc>
      </w:tr>
      <w:tr>
        <w:trPr>
          <w:cantSplit w:val="0"/>
          <w:trHeight w:val="188" w:hRule="atLeast"/>
          <w:tblHeader w:val="0"/>
        </w:trPr>
        <w:tc>
          <w:tcPr>
            <w:gridSpan w:val="3"/>
            <w:vAlign w:val="center"/>
          </w:tcPr>
          <w:p w:rsidR="00000000" w:rsidDel="00000000" w:rsidP="00000000" w:rsidRDefault="00000000" w:rsidRPr="00000000" w14:paraId="00000080">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Диплома</w:t>
            </w:r>
          </w:p>
        </w:tc>
        <w:tc>
          <w:tcPr>
            <w:gridSpan w:val="2"/>
          </w:tcPr>
          <w:p w:rsidR="00000000" w:rsidDel="00000000" w:rsidP="00000000" w:rsidRDefault="00000000" w:rsidRPr="00000000" w14:paraId="00000083">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2007.</w:t>
            </w:r>
          </w:p>
        </w:tc>
        <w:tc>
          <w:tcPr>
            <w:gridSpan w:val="5"/>
            <w:shd w:fill="auto" w:val="clear"/>
          </w:tcPr>
          <w:p w:rsidR="00000000" w:rsidDel="00000000" w:rsidP="00000000" w:rsidRDefault="00000000" w:rsidRPr="00000000" w14:paraId="00000085">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ДГТХ, ПМФ, Нови Сад</w:t>
            </w:r>
          </w:p>
        </w:tc>
        <w:tc>
          <w:tcPr>
            <w:gridSpan w:val="2"/>
            <w:shd w:fill="auto" w:val="clear"/>
          </w:tcPr>
          <w:p w:rsidR="00000000" w:rsidDel="00000000" w:rsidP="00000000" w:rsidRDefault="00000000" w:rsidRPr="00000000" w14:paraId="0000008A">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Туризам</w:t>
            </w:r>
          </w:p>
        </w:tc>
        <w:tc>
          <w:tcPr>
            <w:gridSpan w:val="2"/>
            <w:shd w:fill="auto" w:val="clear"/>
          </w:tcPr>
          <w:p w:rsidR="00000000" w:rsidDel="00000000" w:rsidP="00000000" w:rsidRDefault="00000000" w:rsidRPr="00000000" w14:paraId="0000008C">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Туризам</w:t>
            </w:r>
          </w:p>
        </w:tc>
      </w:tr>
      <w:tr>
        <w:trPr>
          <w:cantSplit w:val="0"/>
          <w:trHeight w:val="314" w:hRule="atLeast"/>
          <w:tblHeader w:val="0"/>
        </w:trPr>
        <w:tc>
          <w:tcPr>
            <w:gridSpan w:val="14"/>
            <w:vAlign w:val="center"/>
          </w:tcPr>
          <w:p w:rsidR="00000000" w:rsidDel="00000000" w:rsidP="00000000" w:rsidRDefault="00000000" w:rsidRPr="00000000" w14:paraId="0000008E">
            <w:pPr>
              <w:tabs>
                <w:tab w:val="left" w:leader="none" w:pos="567"/>
              </w:tabs>
              <w:spacing w:after="60" w:lineRule="auto"/>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Списак предмета за  које  је наставник акредитован на првом или другом степену студија</w:t>
            </w:r>
          </w:p>
        </w:tc>
      </w:tr>
      <w:tr>
        <w:trPr>
          <w:cantSplit w:val="0"/>
          <w:trHeight w:val="350" w:hRule="atLeast"/>
          <w:tblHeader w:val="0"/>
        </w:trPr>
        <w:tc>
          <w:tcPr>
            <w:shd w:fill="auto" w:val="clear"/>
            <w:vAlign w:val="center"/>
          </w:tcPr>
          <w:p w:rsidR="00000000" w:rsidDel="00000000" w:rsidP="00000000" w:rsidRDefault="00000000" w:rsidRPr="00000000" w14:paraId="0000009C">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Р.Б.</w:t>
            </w:r>
          </w:p>
        </w:tc>
        <w:tc>
          <w:tcPr>
            <w:shd w:fill="auto" w:val="clear"/>
            <w:vAlign w:val="center"/>
          </w:tcPr>
          <w:p w:rsidR="00000000" w:rsidDel="00000000" w:rsidP="00000000" w:rsidRDefault="00000000" w:rsidRPr="00000000" w14:paraId="0000009D">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Ознака предмета</w:t>
            </w:r>
          </w:p>
        </w:tc>
        <w:tc>
          <w:tcPr>
            <w:gridSpan w:val="4"/>
            <w:shd w:fill="auto" w:val="clear"/>
            <w:vAlign w:val="center"/>
          </w:tcPr>
          <w:p w:rsidR="00000000" w:rsidDel="00000000" w:rsidP="00000000" w:rsidRDefault="00000000" w:rsidRPr="00000000" w14:paraId="0000009E">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Назив предмета     </w:t>
            </w:r>
          </w:p>
        </w:tc>
        <w:tc>
          <w:tcPr>
            <w:gridSpan w:val="3"/>
            <w:shd w:fill="auto" w:val="clear"/>
            <w:vAlign w:val="center"/>
          </w:tcPr>
          <w:p w:rsidR="00000000" w:rsidDel="00000000" w:rsidP="00000000" w:rsidRDefault="00000000" w:rsidRPr="00000000" w14:paraId="000000A2">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Вид наставе</w:t>
            </w:r>
          </w:p>
        </w:tc>
        <w:tc>
          <w:tcPr>
            <w:gridSpan w:val="4"/>
            <w:shd w:fill="auto" w:val="clear"/>
            <w:vAlign w:val="center"/>
          </w:tcPr>
          <w:p w:rsidR="00000000" w:rsidDel="00000000" w:rsidP="00000000" w:rsidRDefault="00000000" w:rsidRPr="00000000" w14:paraId="000000A5">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Назив студијског програма </w:t>
            </w:r>
          </w:p>
        </w:tc>
        <w:tc>
          <w:tcPr>
            <w:shd w:fill="auto" w:val="clear"/>
            <w:vAlign w:val="center"/>
          </w:tcPr>
          <w:p w:rsidR="00000000" w:rsidDel="00000000" w:rsidP="00000000" w:rsidRDefault="00000000" w:rsidRPr="00000000" w14:paraId="000000A9">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Врста студија</w:t>
            </w:r>
          </w:p>
        </w:tc>
      </w:tr>
      <w:tr>
        <w:trPr>
          <w:cantSplit w:val="0"/>
          <w:trHeight w:val="494" w:hRule="atLeast"/>
          <w:tblHeader w:val="0"/>
        </w:trPr>
        <w:tc>
          <w:tcPr>
            <w:shd w:fill="auto" w:val="clear"/>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1.</w:t>
            </w:r>
          </w:p>
        </w:tc>
        <w:tc>
          <w:tcPr>
            <w:shd w:fill="auto" w:val="clear"/>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Т301</w:t>
            </w:r>
          </w:p>
        </w:tc>
        <w:tc>
          <w:tcPr>
            <w:gridSpan w:val="4"/>
            <w:shd w:fill="auto" w:val="clear"/>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Туристичке регије Србије</w:t>
            </w:r>
          </w:p>
        </w:tc>
        <w:tc>
          <w:tcPr>
            <w:gridSpan w:val="3"/>
            <w:shd w:fill="auto" w:val="clear"/>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Предавања</w:t>
            </w:r>
          </w:p>
        </w:tc>
        <w:tc>
          <w:tcPr>
            <w:gridSpan w:val="4"/>
            <w:shd w:fill="auto" w:val="clear"/>
            <w:vAlign w:val="center"/>
          </w:tcPr>
          <w:p w:rsidR="00000000" w:rsidDel="00000000" w:rsidP="00000000" w:rsidRDefault="00000000" w:rsidRPr="00000000" w14:paraId="000000B3">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Основне академске студије Туризам</w:t>
            </w:r>
          </w:p>
        </w:tc>
        <w:tc>
          <w:tcPr>
            <w:shd w:fill="auto" w:val="clear"/>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ОАС</w:t>
            </w:r>
          </w:p>
        </w:tc>
      </w:tr>
      <w:tr>
        <w:trPr>
          <w:cantSplit w:val="0"/>
          <w:trHeight w:val="170" w:hRule="atLeast"/>
          <w:tblHeader w:val="0"/>
        </w:trPr>
        <w:tc>
          <w:tcPr>
            <w:shd w:fill="auto" w:val="clear"/>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2.</w:t>
            </w:r>
          </w:p>
        </w:tc>
        <w:tc>
          <w:tcPr>
            <w:shd w:fill="auto" w:val="clear"/>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Т210</w:t>
            </w:r>
          </w:p>
        </w:tc>
        <w:tc>
          <w:tcPr>
            <w:gridSpan w:val="4"/>
            <w:shd w:fill="auto" w:val="clear"/>
          </w:tcPr>
          <w:p w:rsidR="00000000" w:rsidDel="00000000" w:rsidP="00000000" w:rsidRDefault="00000000" w:rsidRPr="00000000" w14:paraId="000000BA">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Културна добра у туризму</w:t>
            </w:r>
          </w:p>
        </w:tc>
        <w:tc>
          <w:tcPr>
            <w:gridSpan w:val="3"/>
            <w:shd w:fill="auto" w:val="clear"/>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Предавања</w:t>
            </w:r>
          </w:p>
        </w:tc>
        <w:tc>
          <w:tcPr>
            <w:gridSpan w:val="4"/>
            <w:shd w:fill="auto" w:val="clear"/>
            <w:vAlign w:val="center"/>
          </w:tcPr>
          <w:p w:rsidR="00000000" w:rsidDel="00000000" w:rsidP="00000000" w:rsidRDefault="00000000" w:rsidRPr="00000000" w14:paraId="000000C1">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Основне академске студије Туризам</w:t>
            </w:r>
          </w:p>
        </w:tc>
        <w:tc>
          <w:tcPr>
            <w:shd w:fill="auto" w:val="clear"/>
          </w:tcPr>
          <w:p w:rsidR="00000000" w:rsidDel="00000000" w:rsidP="00000000" w:rsidRDefault="00000000" w:rsidRPr="00000000" w14:paraId="000000C5">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ОАС</w:t>
            </w:r>
          </w:p>
        </w:tc>
      </w:tr>
      <w:tr>
        <w:trPr>
          <w:cantSplit w:val="0"/>
          <w:trHeight w:val="386" w:hRule="atLeast"/>
          <w:tblHeader w:val="0"/>
        </w:trPr>
        <w:tc>
          <w:tcPr>
            <w:shd w:fill="auto" w:val="clear"/>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3.</w:t>
            </w:r>
          </w:p>
        </w:tc>
        <w:tc>
          <w:tcPr>
            <w:shd w:fill="auto" w:val="clear"/>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МГТ1</w:t>
            </w:r>
          </w:p>
        </w:tc>
        <w:tc>
          <w:tcPr>
            <w:gridSpan w:val="4"/>
            <w:shd w:fill="auto" w:val="clear"/>
          </w:tcPr>
          <w:p w:rsidR="00000000" w:rsidDel="00000000" w:rsidP="00000000" w:rsidRDefault="00000000" w:rsidRPr="00000000" w14:paraId="000000C8">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Управљање пројектима Европске уније</w:t>
            </w:r>
          </w:p>
        </w:tc>
        <w:tc>
          <w:tcPr>
            <w:gridSpan w:val="3"/>
            <w:shd w:fill="auto" w:val="clear"/>
          </w:tcPr>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Предавања</w:t>
            </w:r>
          </w:p>
        </w:tc>
        <w:tc>
          <w:tcPr>
            <w:gridSpan w:val="4"/>
            <w:shd w:fill="auto" w:val="clear"/>
            <w:vAlign w:val="center"/>
          </w:tcPr>
          <w:p w:rsidR="00000000" w:rsidDel="00000000" w:rsidP="00000000" w:rsidRDefault="00000000" w:rsidRPr="00000000" w14:paraId="000000CF">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Мастер академске студије Географија и Туризам</w:t>
            </w:r>
          </w:p>
        </w:tc>
        <w:tc>
          <w:tcPr>
            <w:shd w:fill="auto" w:val="clear"/>
          </w:tcPr>
          <w:p w:rsidR="00000000" w:rsidDel="00000000" w:rsidP="00000000" w:rsidRDefault="00000000" w:rsidRPr="00000000" w14:paraId="000000D3">
            <w:pPr>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МАС</w:t>
            </w:r>
          </w:p>
        </w:tc>
      </w:tr>
      <w:tr>
        <w:trPr>
          <w:cantSplit w:val="0"/>
          <w:trHeight w:val="260" w:hRule="atLeast"/>
          <w:tblHeader w:val="0"/>
        </w:trPr>
        <w:tc>
          <w:tcPr>
            <w:shd w:fill="auto" w:val="clear"/>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4.</w:t>
            </w:r>
          </w:p>
        </w:tc>
        <w:tc>
          <w:tcPr>
            <w:shd w:fill="auto" w:val="clear"/>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МТ333</w:t>
            </w:r>
          </w:p>
        </w:tc>
        <w:tc>
          <w:tcPr>
            <w:gridSpan w:val="4"/>
            <w:shd w:fill="auto" w:val="clear"/>
          </w:tcPr>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Стратешка документа Европске уније у туризму и угоститељству</w:t>
            </w:r>
          </w:p>
        </w:tc>
        <w:tc>
          <w:tcPr>
            <w:gridSpan w:val="3"/>
            <w:shd w:fill="auto" w:val="clear"/>
            <w:vAlign w:val="center"/>
          </w:tcPr>
          <w:p w:rsidR="00000000" w:rsidDel="00000000" w:rsidP="00000000" w:rsidRDefault="00000000" w:rsidRPr="00000000" w14:paraId="000000DA">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Предавања</w:t>
            </w:r>
          </w:p>
        </w:tc>
        <w:tc>
          <w:tcPr>
            <w:gridSpan w:val="4"/>
            <w:shd w:fill="auto" w:val="clear"/>
            <w:vAlign w:val="center"/>
          </w:tcPr>
          <w:p w:rsidR="00000000" w:rsidDel="00000000" w:rsidP="00000000" w:rsidRDefault="00000000" w:rsidRPr="00000000" w14:paraId="000000DD">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Мастер академске студије Туризам</w:t>
            </w:r>
          </w:p>
        </w:tc>
        <w:tc>
          <w:tcPr>
            <w:shd w:fill="auto" w:val="clear"/>
          </w:tcPr>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МАС</w:t>
            </w:r>
          </w:p>
        </w:tc>
      </w:tr>
      <w:tr>
        <w:trPr>
          <w:cantSplit w:val="0"/>
          <w:trHeight w:val="260" w:hRule="atLeast"/>
          <w:tblHeader w:val="0"/>
        </w:trPr>
        <w:tc>
          <w:tcPr>
            <w:shd w:fill="auto" w:val="clear"/>
          </w:tcPr>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5.</w:t>
            </w:r>
          </w:p>
        </w:tc>
        <w:tc>
          <w:tcPr>
            <w:shd w:fill="auto" w:val="clear"/>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MKT103</w:t>
            </w:r>
          </w:p>
        </w:tc>
        <w:tc>
          <w:tcPr>
            <w:gridSpan w:val="4"/>
            <w:shd w:fill="auto" w:val="clear"/>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Пројектни менаџмент у културном туризму</w:t>
            </w:r>
          </w:p>
        </w:tc>
        <w:tc>
          <w:tcPr>
            <w:gridSpan w:val="3"/>
            <w:shd w:fill="auto" w:val="clear"/>
            <w:vAlign w:val="center"/>
          </w:tcPr>
          <w:p w:rsidR="00000000" w:rsidDel="00000000" w:rsidP="00000000" w:rsidRDefault="00000000" w:rsidRPr="00000000" w14:paraId="000000E8">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Предавња</w:t>
            </w:r>
          </w:p>
        </w:tc>
        <w:tc>
          <w:tcPr>
            <w:gridSpan w:val="4"/>
            <w:shd w:fill="auto" w:val="clear"/>
            <w:vAlign w:val="center"/>
          </w:tcPr>
          <w:p w:rsidR="00000000" w:rsidDel="00000000" w:rsidP="00000000" w:rsidRDefault="00000000" w:rsidRPr="00000000" w14:paraId="000000EB">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Мастер академске студије Управљање културним туризмом и културним наслеђем</w:t>
            </w:r>
          </w:p>
        </w:tc>
        <w:tc>
          <w:tcPr>
            <w:shd w:fill="auto" w:val="clear"/>
          </w:tcPr>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МАС</w:t>
            </w:r>
          </w:p>
        </w:tc>
      </w:tr>
      <w:tr>
        <w:trPr>
          <w:cantSplit w:val="0"/>
          <w:trHeight w:val="260" w:hRule="atLeast"/>
          <w:tblHeader w:val="0"/>
        </w:trPr>
        <w:tc>
          <w:tcPr>
            <w:shd w:fill="auto" w:val="clear"/>
          </w:tcPr>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6.</w:t>
            </w:r>
          </w:p>
        </w:tc>
        <w:tc>
          <w:tcPr>
            <w:shd w:fill="auto" w:val="clear"/>
          </w:tcPr>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MKT104</w:t>
            </w:r>
          </w:p>
        </w:tc>
        <w:tc>
          <w:tcPr>
            <w:gridSpan w:val="4"/>
            <w:shd w:fill="auto" w:val="clear"/>
          </w:tcPr>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Развој производа и стратегије брендирања</w:t>
            </w:r>
          </w:p>
        </w:tc>
        <w:tc>
          <w:tcPr>
            <w:gridSpan w:val="3"/>
            <w:shd w:fill="auto" w:val="clear"/>
            <w:vAlign w:val="center"/>
          </w:tcPr>
          <w:p w:rsidR="00000000" w:rsidDel="00000000" w:rsidP="00000000" w:rsidRDefault="00000000" w:rsidRPr="00000000" w14:paraId="000000F6">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Предавња</w:t>
            </w:r>
          </w:p>
        </w:tc>
        <w:tc>
          <w:tcPr>
            <w:gridSpan w:val="4"/>
            <w:shd w:fill="auto" w:val="clear"/>
            <w:vAlign w:val="center"/>
          </w:tcPr>
          <w:p w:rsidR="00000000" w:rsidDel="00000000" w:rsidP="00000000" w:rsidRDefault="00000000" w:rsidRPr="00000000" w14:paraId="000000F9">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Мастер академске студије Управљање културним туризмом и културним наслеђем</w:t>
            </w:r>
          </w:p>
        </w:tc>
        <w:tc>
          <w:tcPr>
            <w:shd w:fill="auto" w:val="clear"/>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МАС</w:t>
            </w:r>
          </w:p>
        </w:tc>
      </w:tr>
      <w:tr>
        <w:trPr>
          <w:cantSplit w:val="0"/>
          <w:trHeight w:val="350" w:hRule="atLeast"/>
          <w:tblHeader w:val="0"/>
        </w:trPr>
        <w:tc>
          <w:tcPr>
            <w:shd w:fill="auto" w:val="clear"/>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7.</w:t>
            </w:r>
          </w:p>
        </w:tc>
        <w:tc>
          <w:tcPr>
            <w:shd w:fill="auto" w:val="clear"/>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ДТ129</w:t>
            </w:r>
          </w:p>
        </w:tc>
        <w:tc>
          <w:tcPr>
            <w:gridSpan w:val="4"/>
            <w:shd w:fill="auto" w:val="clear"/>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Руковођење и мотивација у туризму и хотелијерству</w:t>
            </w:r>
          </w:p>
        </w:tc>
        <w:tc>
          <w:tcPr>
            <w:gridSpan w:val="3"/>
            <w:shd w:fill="auto" w:val="clear"/>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Предавања</w:t>
            </w:r>
          </w:p>
        </w:tc>
        <w:tc>
          <w:tcPr>
            <w:gridSpan w:val="4"/>
            <w:shd w:fill="auto" w:val="clear"/>
            <w:vAlign w:val="center"/>
          </w:tcPr>
          <w:p w:rsidR="00000000" w:rsidDel="00000000" w:rsidP="00000000" w:rsidRDefault="00000000" w:rsidRPr="00000000" w14:paraId="00000107">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Докторске академске студије Туризам</w:t>
            </w:r>
          </w:p>
        </w:tc>
        <w:tc>
          <w:tcPr>
            <w:shd w:fill="auto" w:val="clear"/>
          </w:tcPr>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ДАС</w:t>
            </w:r>
          </w:p>
        </w:tc>
      </w:tr>
      <w:tr>
        <w:trPr>
          <w:cantSplit w:val="0"/>
          <w:trHeight w:val="427" w:hRule="atLeast"/>
          <w:tblHeader w:val="0"/>
        </w:trPr>
        <w:tc>
          <w:tcPr>
            <w:gridSpan w:val="14"/>
            <w:vAlign w:val="center"/>
          </w:tcPr>
          <w:p w:rsidR="00000000" w:rsidDel="00000000" w:rsidP="00000000" w:rsidRDefault="00000000" w:rsidRPr="00000000" w14:paraId="0000010C">
            <w:pPr>
              <w:tabs>
                <w:tab w:val="left" w:leader="none" w:pos="567"/>
              </w:tabs>
              <w:spacing w:after="60" w:lineRule="auto"/>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Репрезентативне референце (минимално 5 не више од 10)</w:t>
            </w:r>
          </w:p>
        </w:tc>
      </w:tr>
      <w:tr>
        <w:trPr>
          <w:cantSplit w:val="0"/>
          <w:trHeight w:val="427" w:hRule="atLeast"/>
          <w:tblHeader w:val="0"/>
        </w:trPr>
        <w:tc>
          <w:tcPr>
            <w:vAlign w:val="center"/>
          </w:tcPr>
          <w:p w:rsidR="00000000" w:rsidDel="00000000" w:rsidP="00000000" w:rsidRDefault="00000000" w:rsidRPr="00000000" w14:paraId="0000011A">
            <w:pPr>
              <w:numPr>
                <w:ilvl w:val="0"/>
                <w:numId w:val="1"/>
              </w:numPr>
              <w:tabs>
                <w:tab w:val="left" w:leader="none" w:pos="567"/>
              </w:tabs>
              <w:spacing w:after="60" w:lineRule="auto"/>
              <w:ind w:left="720" w:hanging="360"/>
              <w:rPr>
                <w:rFonts w:ascii="Times New Roman" w:cs="Times New Roman" w:eastAsia="Times New Roman" w:hAnsi="Times New Roman"/>
                <w:sz w:val="14"/>
                <w:szCs w:val="14"/>
              </w:rPr>
            </w:pPr>
            <w:r w:rsidDel="00000000" w:rsidR="00000000" w:rsidRPr="00000000">
              <w:rPr>
                <w:rtl w:val="0"/>
              </w:rPr>
            </w:r>
          </w:p>
        </w:tc>
        <w:tc>
          <w:tcPr>
            <w:gridSpan w:val="13"/>
            <w:shd w:fill="auto" w:val="clear"/>
            <w:vAlign w:val="center"/>
          </w:tcPr>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Vujičić, M.D., Stankov, U., Pavluković, U., Štajner-Papuga, I., Kovačić, S., Čikić, J., Milenković, N., Zelenović Vasiljević, T. (2023). Prepare for Impact! A Methodological Approach for Comprehensive Impact Evaluation of European Capital of Culture: The Case of Novi Sad 2022. Social Indicators Research, 165, 715-736. DOI : 10.1007/s11205-022-03041-1</w:t>
            </w:r>
          </w:p>
        </w:tc>
      </w:tr>
      <w:tr>
        <w:trPr>
          <w:cantSplit w:val="0"/>
          <w:trHeight w:val="427" w:hRule="atLeast"/>
          <w:tblHeader w:val="0"/>
        </w:trPr>
        <w:tc>
          <w:tcPr>
            <w:vAlign w:val="center"/>
          </w:tcPr>
          <w:p w:rsidR="00000000" w:rsidDel="00000000" w:rsidP="00000000" w:rsidRDefault="00000000" w:rsidRPr="00000000" w14:paraId="00000128">
            <w:pPr>
              <w:numPr>
                <w:ilvl w:val="0"/>
                <w:numId w:val="1"/>
              </w:numPr>
              <w:tabs>
                <w:tab w:val="left" w:leader="none" w:pos="567"/>
              </w:tabs>
              <w:spacing w:after="60" w:lineRule="auto"/>
              <w:ind w:left="720" w:hanging="360"/>
              <w:rPr>
                <w:rFonts w:ascii="Times New Roman" w:cs="Times New Roman" w:eastAsia="Times New Roman" w:hAnsi="Times New Roman"/>
                <w:sz w:val="14"/>
                <w:szCs w:val="14"/>
              </w:rPr>
            </w:pPr>
            <w:r w:rsidDel="00000000" w:rsidR="00000000" w:rsidRPr="00000000">
              <w:rPr>
                <w:rtl w:val="0"/>
              </w:rPr>
            </w:r>
          </w:p>
        </w:tc>
        <w:tc>
          <w:tcPr>
            <w:gridSpan w:val="13"/>
            <w:shd w:fill="auto" w:val="clear"/>
            <w:vAlign w:val="center"/>
          </w:tcPr>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Miroslav D. Vujičić, James Kennell, Uglješa Stankov, Ulrike Gretzel, Đorđije A. Vasiljević, Alastair M. Morrison (2022). Keeping up with the drones! Techno-social dimensions of tourist drone videography. Technology in Society, 68, 101838, https://doi.org/10.1016/j.techsoc.2021.101838</w:t>
            </w:r>
          </w:p>
        </w:tc>
      </w:tr>
      <w:tr>
        <w:trPr>
          <w:cantSplit w:val="0"/>
          <w:trHeight w:val="427" w:hRule="atLeast"/>
          <w:tblHeader w:val="0"/>
        </w:trPr>
        <w:tc>
          <w:tcPr>
            <w:vAlign w:val="center"/>
          </w:tcPr>
          <w:p w:rsidR="00000000" w:rsidDel="00000000" w:rsidP="00000000" w:rsidRDefault="00000000" w:rsidRPr="00000000" w14:paraId="00000136">
            <w:pPr>
              <w:numPr>
                <w:ilvl w:val="0"/>
                <w:numId w:val="1"/>
              </w:numPr>
              <w:tabs>
                <w:tab w:val="left" w:leader="none" w:pos="567"/>
              </w:tabs>
              <w:spacing w:after="60" w:lineRule="auto"/>
              <w:ind w:left="720" w:hanging="360"/>
              <w:rPr>
                <w:rFonts w:ascii="Times New Roman" w:cs="Times New Roman" w:eastAsia="Times New Roman" w:hAnsi="Times New Roman"/>
                <w:sz w:val="14"/>
                <w:szCs w:val="14"/>
              </w:rPr>
            </w:pPr>
            <w:r w:rsidDel="00000000" w:rsidR="00000000" w:rsidRPr="00000000">
              <w:rPr>
                <w:rtl w:val="0"/>
              </w:rPr>
            </w:r>
          </w:p>
        </w:tc>
        <w:tc>
          <w:tcPr>
            <w:gridSpan w:val="13"/>
            <w:shd w:fill="auto" w:val="clear"/>
            <w:vAlign w:val="center"/>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Stankov, U., Filimonau, V., Vujičić, M. D., Basarin, B., Carmer, A.B., Lazić, L., Hansen, B.K., Ćirić Lalić, D., Mujkić, D. (2023). Ready for Action! Destination Climate Change Communication: An Archetypal Branding Approach. International Journal of Environmental Research and Public Health, 20, pp. 3874. Doi: 10.3390/ijerph20053874</w:t>
            </w:r>
          </w:p>
        </w:tc>
      </w:tr>
      <w:tr>
        <w:trPr>
          <w:cantSplit w:val="0"/>
          <w:trHeight w:val="427" w:hRule="atLeast"/>
          <w:tblHeader w:val="0"/>
        </w:trPr>
        <w:tc>
          <w:tcPr>
            <w:vAlign w:val="center"/>
          </w:tcPr>
          <w:p w:rsidR="00000000" w:rsidDel="00000000" w:rsidP="00000000" w:rsidRDefault="00000000" w:rsidRPr="00000000" w14:paraId="00000144">
            <w:pPr>
              <w:numPr>
                <w:ilvl w:val="0"/>
                <w:numId w:val="1"/>
              </w:numPr>
              <w:tabs>
                <w:tab w:val="left" w:leader="none" w:pos="567"/>
              </w:tabs>
              <w:spacing w:after="60" w:lineRule="auto"/>
              <w:ind w:left="720" w:hanging="360"/>
              <w:rPr>
                <w:rFonts w:ascii="Times New Roman" w:cs="Times New Roman" w:eastAsia="Times New Roman" w:hAnsi="Times New Roman"/>
                <w:sz w:val="14"/>
                <w:szCs w:val="14"/>
              </w:rPr>
            </w:pPr>
            <w:r w:rsidDel="00000000" w:rsidR="00000000" w:rsidRPr="00000000">
              <w:rPr>
                <w:rtl w:val="0"/>
              </w:rPr>
            </w:r>
          </w:p>
        </w:tc>
        <w:tc>
          <w:tcPr>
            <w:gridSpan w:val="13"/>
            <w:shd w:fill="auto" w:val="clear"/>
            <w:vAlign w:val="center"/>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Obradović, S., Stojanović, V., Kovačić., S., Jovanović, T., Pantelić, M., </w:t>
            </w:r>
            <w:r w:rsidDel="00000000" w:rsidR="00000000" w:rsidRPr="00000000">
              <w:rPr>
                <w:rFonts w:ascii="Times New Roman" w:cs="Times New Roman" w:eastAsia="Times New Roman" w:hAnsi="Times New Roman"/>
                <w:b w:val="1"/>
                <w:i w:val="0"/>
                <w:smallCaps w:val="0"/>
                <w:strike w:val="0"/>
                <w:color w:val="000000"/>
                <w:sz w:val="14"/>
                <w:szCs w:val="14"/>
                <w:u w:val="none"/>
                <w:shd w:fill="auto" w:val="clear"/>
                <w:vertAlign w:val="baseline"/>
                <w:rtl w:val="0"/>
              </w:rPr>
              <w:t xml:space="preserve">Vujičić, M.</w:t>
            </w: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 (2021). Assessment of residents' attitudes toward sustainable tourism development - a case study of Bačko Podunavlje Biosphere Reserve, Serbia. Journal of Outdoor Recreation and Tourism, 35. ISSN: 2213-0780, doi.org/10.1016/j.jort.2021.100384</w:t>
            </w:r>
          </w:p>
        </w:tc>
      </w:tr>
      <w:tr>
        <w:trPr>
          <w:cantSplit w:val="0"/>
          <w:trHeight w:val="427" w:hRule="atLeast"/>
          <w:tblHeader w:val="0"/>
        </w:trPr>
        <w:tc>
          <w:tcPr>
            <w:vAlign w:val="center"/>
          </w:tcPr>
          <w:p w:rsidR="00000000" w:rsidDel="00000000" w:rsidP="00000000" w:rsidRDefault="00000000" w:rsidRPr="00000000" w14:paraId="00000152">
            <w:pPr>
              <w:numPr>
                <w:ilvl w:val="0"/>
                <w:numId w:val="1"/>
              </w:numPr>
              <w:tabs>
                <w:tab w:val="left" w:leader="none" w:pos="567"/>
              </w:tabs>
              <w:spacing w:after="60" w:lineRule="auto"/>
              <w:ind w:left="720" w:hanging="360"/>
              <w:rPr>
                <w:rFonts w:ascii="Times New Roman" w:cs="Times New Roman" w:eastAsia="Times New Roman" w:hAnsi="Times New Roman"/>
                <w:sz w:val="14"/>
                <w:szCs w:val="14"/>
              </w:rPr>
            </w:pPr>
            <w:r w:rsidDel="00000000" w:rsidR="00000000" w:rsidRPr="00000000">
              <w:rPr>
                <w:rtl w:val="0"/>
              </w:rPr>
            </w:r>
          </w:p>
        </w:tc>
        <w:tc>
          <w:tcPr>
            <w:gridSpan w:val="13"/>
            <w:shd w:fill="auto" w:val="clear"/>
            <w:vAlign w:val="center"/>
          </w:tcPr>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Mijatov Ladičorbić, M., Dragin, A.S., Jovanović, T., Solarević, M., Munitlak Ivanović, O., Stojanović, V., Košić, K., Ivkov Džigurski, A., Tomić, S., Vujičić, M.D., Nedeljković Knežević, M., Blešić, I., Anđelković, Ž., Zadel, Z., Tepavčević, J., Stoiljković, A. (2023). Tourism Stakeholder Perspectives on Corporate Social Responsibility in Serbia: The Perception of Hotel Employees. Sustainability, 15(5), 4010. dx.doi.org/10.3390/su15054010</w:t>
            </w:r>
          </w:p>
        </w:tc>
      </w:tr>
      <w:tr>
        <w:trPr>
          <w:cantSplit w:val="0"/>
          <w:trHeight w:val="427" w:hRule="atLeast"/>
          <w:tblHeader w:val="0"/>
        </w:trPr>
        <w:tc>
          <w:tcPr>
            <w:vAlign w:val="center"/>
          </w:tcPr>
          <w:p w:rsidR="00000000" w:rsidDel="00000000" w:rsidP="00000000" w:rsidRDefault="00000000" w:rsidRPr="00000000" w14:paraId="00000160">
            <w:pPr>
              <w:numPr>
                <w:ilvl w:val="0"/>
                <w:numId w:val="1"/>
              </w:numPr>
              <w:tabs>
                <w:tab w:val="left" w:leader="none" w:pos="567"/>
              </w:tabs>
              <w:spacing w:after="60" w:lineRule="auto"/>
              <w:ind w:left="720" w:hanging="360"/>
              <w:rPr>
                <w:rFonts w:ascii="Times New Roman" w:cs="Times New Roman" w:eastAsia="Times New Roman" w:hAnsi="Times New Roman"/>
                <w:sz w:val="14"/>
                <w:szCs w:val="14"/>
              </w:rPr>
            </w:pPr>
            <w:r w:rsidDel="00000000" w:rsidR="00000000" w:rsidRPr="00000000">
              <w:rPr>
                <w:rtl w:val="0"/>
              </w:rPr>
            </w:r>
          </w:p>
        </w:tc>
        <w:tc>
          <w:tcPr>
            <w:gridSpan w:val="13"/>
            <w:shd w:fill="auto" w:val="clear"/>
            <w:vAlign w:val="center"/>
          </w:tcPr>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Ćulić, M. Vujičić, M.D., Kalinić, Č., Dunjić, M., Stankov, U., Kovačić, S., Vasiljević, Đ.A., Anđelković, Ž. (2021). Rookie Tourism Destinations—The Effects of Attractiveness Factors on Destination Image and Revisit Intention with the Satisfaction Mediation Effect. Sustainability, 13, 5780, https://doi.org/10.3390/su13115780</w:t>
            </w:r>
          </w:p>
        </w:tc>
      </w:tr>
      <w:tr>
        <w:trPr>
          <w:cantSplit w:val="0"/>
          <w:trHeight w:val="427" w:hRule="atLeast"/>
          <w:tblHeader w:val="0"/>
        </w:trPr>
        <w:tc>
          <w:tcPr>
            <w:vAlign w:val="center"/>
          </w:tcPr>
          <w:p w:rsidR="00000000" w:rsidDel="00000000" w:rsidP="00000000" w:rsidRDefault="00000000" w:rsidRPr="00000000" w14:paraId="0000016E">
            <w:pPr>
              <w:numPr>
                <w:ilvl w:val="0"/>
                <w:numId w:val="1"/>
              </w:numPr>
              <w:tabs>
                <w:tab w:val="left" w:leader="none" w:pos="567"/>
              </w:tabs>
              <w:spacing w:after="60" w:lineRule="auto"/>
              <w:ind w:left="720" w:hanging="360"/>
              <w:rPr>
                <w:rFonts w:ascii="Times New Roman" w:cs="Times New Roman" w:eastAsia="Times New Roman" w:hAnsi="Times New Roman"/>
                <w:sz w:val="14"/>
                <w:szCs w:val="14"/>
              </w:rPr>
            </w:pPr>
            <w:r w:rsidDel="00000000" w:rsidR="00000000" w:rsidRPr="00000000">
              <w:rPr>
                <w:rtl w:val="0"/>
              </w:rPr>
            </w:r>
          </w:p>
        </w:tc>
        <w:tc>
          <w:tcPr>
            <w:gridSpan w:val="13"/>
            <w:shd w:fill="auto" w:val="clear"/>
            <w:vAlign w:val="center"/>
          </w:tcPr>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Tešin, A., Kovačić, S., Jovanović, T., Vujičić, M.D., Obradović, S. (2020). Ecotourism constraints: what prevents domestic tourists in Serbia from visiting eco-destinations? Journal of the Geographical Institute “Jovan Cvijić” SASA, 70(3), 255-271, ISSN: 1821-2808, https://doi.org/10.2298/IJGI2003255T</w:t>
            </w:r>
          </w:p>
        </w:tc>
      </w:tr>
      <w:tr>
        <w:trPr>
          <w:cantSplit w:val="0"/>
          <w:trHeight w:val="427" w:hRule="atLeast"/>
          <w:tblHeader w:val="0"/>
        </w:trPr>
        <w:tc>
          <w:tcPr>
            <w:vAlign w:val="center"/>
          </w:tcPr>
          <w:p w:rsidR="00000000" w:rsidDel="00000000" w:rsidP="00000000" w:rsidRDefault="00000000" w:rsidRPr="00000000" w14:paraId="0000017C">
            <w:pPr>
              <w:numPr>
                <w:ilvl w:val="0"/>
                <w:numId w:val="1"/>
              </w:numPr>
              <w:tabs>
                <w:tab w:val="left" w:leader="none" w:pos="567"/>
              </w:tabs>
              <w:spacing w:after="60" w:lineRule="auto"/>
              <w:ind w:left="720" w:hanging="360"/>
              <w:rPr>
                <w:rFonts w:ascii="Times New Roman" w:cs="Times New Roman" w:eastAsia="Times New Roman" w:hAnsi="Times New Roman"/>
                <w:sz w:val="14"/>
                <w:szCs w:val="14"/>
              </w:rPr>
            </w:pPr>
            <w:r w:rsidDel="00000000" w:rsidR="00000000" w:rsidRPr="00000000">
              <w:rPr>
                <w:rtl w:val="0"/>
              </w:rPr>
            </w:r>
          </w:p>
        </w:tc>
        <w:tc>
          <w:tcPr>
            <w:gridSpan w:val="13"/>
            <w:shd w:fill="auto" w:val="clear"/>
            <w:vAlign w:val="center"/>
          </w:tcPr>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Vujičić, M.D., Kennell, J., Morrison, A., Viachaslau, F., Štajner Papuga, I., Stankov, U., Vasiljević, Dj. (2020). Fuzzy Modelling of Tourist Motivation: An Age-Related Model for Sustainable, Multi-Attraction, Urban Destinations. Sustainability, 12(20), 8698. ISSN: 2071-1050, doi.org/10.3390/su12208698</w:t>
            </w:r>
          </w:p>
        </w:tc>
      </w:tr>
      <w:tr>
        <w:trPr>
          <w:cantSplit w:val="0"/>
          <w:trHeight w:val="427" w:hRule="atLeast"/>
          <w:tblHeader w:val="0"/>
        </w:trPr>
        <w:tc>
          <w:tcPr>
            <w:vAlign w:val="center"/>
          </w:tcPr>
          <w:p w:rsidR="00000000" w:rsidDel="00000000" w:rsidP="00000000" w:rsidRDefault="00000000" w:rsidRPr="00000000" w14:paraId="0000018A">
            <w:pPr>
              <w:numPr>
                <w:ilvl w:val="0"/>
                <w:numId w:val="1"/>
              </w:numPr>
              <w:tabs>
                <w:tab w:val="left" w:leader="none" w:pos="567"/>
              </w:tabs>
              <w:spacing w:after="60" w:lineRule="auto"/>
              <w:ind w:left="720" w:hanging="360"/>
              <w:rPr>
                <w:rFonts w:ascii="Times New Roman" w:cs="Times New Roman" w:eastAsia="Times New Roman" w:hAnsi="Times New Roman"/>
                <w:sz w:val="14"/>
                <w:szCs w:val="14"/>
              </w:rPr>
            </w:pPr>
            <w:r w:rsidDel="00000000" w:rsidR="00000000" w:rsidRPr="00000000">
              <w:rPr>
                <w:rtl w:val="0"/>
              </w:rPr>
            </w:r>
          </w:p>
        </w:tc>
        <w:tc>
          <w:tcPr>
            <w:gridSpan w:val="13"/>
            <w:shd w:fill="auto" w:val="clear"/>
            <w:vAlign w:val="center"/>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Vasiljević, Đ,A., Vujičić, M.D, Stankov, U., Dragović, N.  (2023). Visitor motivation and perceived value of periurban parks - Case study of Kamenica park, Serbia. Journal of Outdoor Recreation and Tourism, 42, 100625.DOI: 10.1016/j.jort.2023.100625</w:t>
            </w:r>
          </w:p>
        </w:tc>
      </w:tr>
      <w:tr>
        <w:trPr>
          <w:cantSplit w:val="0"/>
          <w:trHeight w:val="427" w:hRule="atLeast"/>
          <w:tblHeader w:val="0"/>
        </w:trPr>
        <w:tc>
          <w:tcPr>
            <w:vAlign w:val="center"/>
          </w:tcPr>
          <w:p w:rsidR="00000000" w:rsidDel="00000000" w:rsidP="00000000" w:rsidRDefault="00000000" w:rsidRPr="00000000" w14:paraId="00000198">
            <w:pPr>
              <w:numPr>
                <w:ilvl w:val="0"/>
                <w:numId w:val="1"/>
              </w:numPr>
              <w:tabs>
                <w:tab w:val="left" w:leader="none" w:pos="567"/>
              </w:tabs>
              <w:spacing w:after="60" w:lineRule="auto"/>
              <w:ind w:left="720" w:hanging="360"/>
              <w:rPr>
                <w:rFonts w:ascii="Times New Roman" w:cs="Times New Roman" w:eastAsia="Times New Roman" w:hAnsi="Times New Roman"/>
                <w:sz w:val="14"/>
                <w:szCs w:val="14"/>
              </w:rPr>
            </w:pPr>
            <w:r w:rsidDel="00000000" w:rsidR="00000000" w:rsidRPr="00000000">
              <w:rPr>
                <w:rtl w:val="0"/>
              </w:rPr>
            </w:r>
          </w:p>
        </w:tc>
        <w:tc>
          <w:tcPr>
            <w:gridSpan w:val="13"/>
            <w:shd w:fill="auto" w:val="clear"/>
            <w:vAlign w:val="center"/>
          </w:tcPr>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4"/>
                <w:szCs w:val="1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4"/>
                <w:szCs w:val="14"/>
                <w:u w:val="none"/>
                <w:shd w:fill="auto" w:val="clear"/>
                <w:vertAlign w:val="baseline"/>
                <w:rtl w:val="0"/>
              </w:rPr>
              <w:t xml:space="preserve">Ćirić, D., Topo, M., Gračanin, D., Fajsi, A., Vujičić, M. (2020). Project Management skill set challenges in Industry 4.0. IS20: 18th International Scientific Conference on Industrial Systems – Industrial Innovation in Digital Age, 7-9 October 2020, Novi Sad, Serbia.</w:t>
            </w:r>
          </w:p>
        </w:tc>
      </w:tr>
      <w:tr>
        <w:trPr>
          <w:cantSplit w:val="0"/>
          <w:trHeight w:val="269" w:hRule="atLeast"/>
          <w:tblHeader w:val="0"/>
        </w:trPr>
        <w:tc>
          <w:tcPr>
            <w:gridSpan w:val="14"/>
            <w:vAlign w:val="center"/>
          </w:tcPr>
          <w:p w:rsidR="00000000" w:rsidDel="00000000" w:rsidP="00000000" w:rsidRDefault="00000000" w:rsidRPr="00000000" w14:paraId="000001A6">
            <w:pPr>
              <w:tabs>
                <w:tab w:val="left" w:leader="none" w:pos="567"/>
              </w:tabs>
              <w:spacing w:after="60" w:lineRule="auto"/>
              <w:rPr>
                <w:rFonts w:ascii="Times New Roman" w:cs="Times New Roman" w:eastAsia="Times New Roman" w:hAnsi="Times New Roman"/>
                <w:b w:val="1"/>
                <w:sz w:val="14"/>
                <w:szCs w:val="14"/>
              </w:rPr>
            </w:pPr>
            <w:r w:rsidDel="00000000" w:rsidR="00000000" w:rsidRPr="00000000">
              <w:rPr>
                <w:rFonts w:ascii="Times New Roman" w:cs="Times New Roman" w:eastAsia="Times New Roman" w:hAnsi="Times New Roman"/>
                <w:b w:val="1"/>
                <w:sz w:val="14"/>
                <w:szCs w:val="14"/>
                <w:rtl w:val="0"/>
              </w:rPr>
              <w:t xml:space="preserve">Збирни подаци научне, односно уметничке и стручне активности наставника </w:t>
            </w:r>
          </w:p>
        </w:tc>
      </w:tr>
      <w:tr>
        <w:trPr>
          <w:cantSplit w:val="0"/>
          <w:trHeight w:val="80" w:hRule="atLeast"/>
          <w:tblHeader w:val="0"/>
        </w:trPr>
        <w:tc>
          <w:tcPr>
            <w:gridSpan w:val="7"/>
            <w:vAlign w:val="center"/>
          </w:tcPr>
          <w:p w:rsidR="00000000" w:rsidDel="00000000" w:rsidP="00000000" w:rsidRDefault="00000000" w:rsidRPr="00000000" w14:paraId="000001B4">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Укупан број цитата</w:t>
            </w:r>
          </w:p>
        </w:tc>
        <w:tc>
          <w:tcPr>
            <w:gridSpan w:val="7"/>
            <w:vAlign w:val="center"/>
          </w:tcPr>
          <w:p w:rsidR="00000000" w:rsidDel="00000000" w:rsidP="00000000" w:rsidRDefault="00000000" w:rsidRPr="00000000" w14:paraId="000001BB">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673 (према Scopus-у)</w:t>
            </w:r>
          </w:p>
        </w:tc>
      </w:tr>
      <w:tr>
        <w:trPr>
          <w:cantSplit w:val="0"/>
          <w:trHeight w:val="71" w:hRule="atLeast"/>
          <w:tblHeader w:val="0"/>
        </w:trPr>
        <w:tc>
          <w:tcPr>
            <w:gridSpan w:val="7"/>
            <w:vAlign w:val="center"/>
          </w:tcPr>
          <w:p w:rsidR="00000000" w:rsidDel="00000000" w:rsidP="00000000" w:rsidRDefault="00000000" w:rsidRPr="00000000" w14:paraId="000001C2">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Укупан број радова са SCI (SSCI) листе</w:t>
            </w:r>
          </w:p>
        </w:tc>
        <w:tc>
          <w:tcPr>
            <w:gridSpan w:val="7"/>
            <w:vAlign w:val="center"/>
          </w:tcPr>
          <w:p w:rsidR="00000000" w:rsidDel="00000000" w:rsidP="00000000" w:rsidRDefault="00000000" w:rsidRPr="00000000" w14:paraId="000001C9">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41</w:t>
            </w:r>
          </w:p>
        </w:tc>
      </w:tr>
      <w:tr>
        <w:trPr>
          <w:cantSplit w:val="0"/>
          <w:trHeight w:val="278" w:hRule="atLeast"/>
          <w:tblHeader w:val="0"/>
        </w:trPr>
        <w:tc>
          <w:tcPr>
            <w:gridSpan w:val="7"/>
            <w:vAlign w:val="center"/>
          </w:tcPr>
          <w:p w:rsidR="00000000" w:rsidDel="00000000" w:rsidP="00000000" w:rsidRDefault="00000000" w:rsidRPr="00000000" w14:paraId="000001D0">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Тренутно учешће на пројектима</w:t>
            </w:r>
          </w:p>
        </w:tc>
        <w:tc>
          <w:tcPr>
            <w:gridSpan w:val="4"/>
            <w:vAlign w:val="center"/>
          </w:tcPr>
          <w:p w:rsidR="00000000" w:rsidDel="00000000" w:rsidP="00000000" w:rsidRDefault="00000000" w:rsidRPr="00000000" w14:paraId="000001D7">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Домаћи: 1</w:t>
            </w:r>
          </w:p>
        </w:tc>
        <w:tc>
          <w:tcPr>
            <w:gridSpan w:val="3"/>
            <w:vAlign w:val="center"/>
          </w:tcPr>
          <w:p w:rsidR="00000000" w:rsidDel="00000000" w:rsidP="00000000" w:rsidRDefault="00000000" w:rsidRPr="00000000" w14:paraId="000001DB">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Међународни. 6</w:t>
            </w:r>
          </w:p>
        </w:tc>
      </w:tr>
      <w:tr>
        <w:trPr>
          <w:cantSplit w:val="0"/>
          <w:trHeight w:val="427" w:hRule="atLeast"/>
          <w:tblHeader w:val="0"/>
        </w:trPr>
        <w:tc>
          <w:tcPr>
            <w:gridSpan w:val="4"/>
            <w:vAlign w:val="center"/>
          </w:tcPr>
          <w:p w:rsidR="00000000" w:rsidDel="00000000" w:rsidP="00000000" w:rsidRDefault="00000000" w:rsidRPr="00000000" w14:paraId="000001DE">
            <w:pPr>
              <w:tabs>
                <w:tab w:val="left" w:leader="none" w:pos="567"/>
              </w:tabs>
              <w:spacing w:after="60" w:lineRule="auto"/>
              <w:rPr>
                <w:rFonts w:ascii="Times New Roman" w:cs="Times New Roman" w:eastAsia="Times New Roman" w:hAnsi="Times New Roman"/>
                <w:sz w:val="14"/>
                <w:szCs w:val="14"/>
              </w:rPr>
            </w:pPr>
            <w:r w:rsidDel="00000000" w:rsidR="00000000" w:rsidRPr="00000000">
              <w:rPr>
                <w:rFonts w:ascii="Times New Roman" w:cs="Times New Roman" w:eastAsia="Times New Roman" w:hAnsi="Times New Roman"/>
                <w:sz w:val="14"/>
                <w:szCs w:val="14"/>
                <w:rtl w:val="0"/>
              </w:rPr>
              <w:t xml:space="preserve">Усавршавања </w:t>
            </w:r>
          </w:p>
        </w:tc>
        <w:tc>
          <w:tcPr>
            <w:gridSpan w:val="10"/>
            <w:vAlign w:val="center"/>
          </w:tcPr>
          <w:p w:rsidR="00000000" w:rsidDel="00000000" w:rsidP="00000000" w:rsidRDefault="00000000" w:rsidRPr="00000000" w14:paraId="000001E2">
            <w:pPr>
              <w:spacing w:after="60" w:lineRule="auto"/>
              <w:rPr>
                <w:rFonts w:ascii="Times New Roman" w:cs="Times New Roman" w:eastAsia="Times New Roman" w:hAnsi="Times New Roman"/>
                <w:sz w:val="14"/>
                <w:szCs w:val="14"/>
              </w:rPr>
            </w:pPr>
            <w:r w:rsidDel="00000000" w:rsidR="00000000" w:rsidRPr="00000000">
              <w:rPr>
                <w:rtl w:val="0"/>
              </w:rPr>
            </w:r>
          </w:p>
        </w:tc>
      </w:tr>
    </w:tbl>
    <w:p w:rsidR="00000000" w:rsidDel="00000000" w:rsidP="00000000" w:rsidRDefault="00000000" w:rsidRPr="00000000" w14:paraId="000001EC">
      <w:pPr>
        <w:rPr>
          <w:rFonts w:ascii="Times New Roman" w:cs="Times New Roman" w:eastAsia="Times New Roman" w:hAnsi="Times New Roman"/>
          <w:sz w:val="14"/>
          <w:szCs w:val="14"/>
        </w:rPr>
      </w:pPr>
      <w:r w:rsidDel="00000000" w:rsidR="00000000" w:rsidRPr="00000000">
        <w:rPr>
          <w:rtl w:val="0"/>
        </w:rPr>
      </w:r>
    </w:p>
    <w:sectPr>
      <w:pgSz w:h="15840" w:w="12240" w:orient="portrait"/>
      <w:pgMar w:bottom="634"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hr-H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