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0"/>
          <w:sz w:val="14"/>
          <w:szCs w:val="1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4"/>
          <w:szCs w:val="14"/>
          <w:vertAlign w:val="baseline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vertAlign w:val="baseline"/>
          <w:rtl w:val="0"/>
        </w:rPr>
        <w:t xml:space="preserve"> Научне, уметничке и стручне квалификације наставника и задужења у настави</w:t>
      </w:r>
      <w:r w:rsidDel="00000000" w:rsidR="00000000" w:rsidRPr="00000000">
        <w:rPr>
          <w:rtl w:val="0"/>
        </w:rPr>
      </w:r>
    </w:p>
    <w:tbl>
      <w:tblPr>
        <w:tblStyle w:val="Table1"/>
        <w:tblW w:w="947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  <w:tblGridChange w:id="0">
          <w:tblGrid>
            <w:gridCol w:w="709"/>
            <w:gridCol w:w="1134"/>
            <w:gridCol w:w="172"/>
            <w:gridCol w:w="880"/>
            <w:gridCol w:w="649"/>
            <w:gridCol w:w="992"/>
            <w:gridCol w:w="320"/>
            <w:gridCol w:w="247"/>
            <w:gridCol w:w="837"/>
            <w:gridCol w:w="214"/>
            <w:gridCol w:w="138"/>
            <w:gridCol w:w="1475"/>
            <w:gridCol w:w="783"/>
            <w:gridCol w:w="922"/>
          </w:tblGrid>
        </w:tblGridChange>
      </w:tblGrid>
      <w:tr>
        <w:trPr>
          <w:cantSplit w:val="0"/>
          <w:trHeight w:val="22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vertAlign w:val="baseline"/>
                <w:rtl w:val="0"/>
              </w:rPr>
              <w:t xml:space="preserve">Име и презиме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Милана Пантелић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vertAlign w:val="baseline"/>
                <w:rtl w:val="0"/>
              </w:rPr>
              <w:t xml:space="preserve">Звање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vertAlign w:val="baseline"/>
                <w:rtl w:val="0"/>
              </w:rPr>
              <w:t xml:space="preserve">Назив институције у  којој наставник ради са пуним или непуним радним временом и од када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Природно-математички факултет, Департман за географију, туризам и хотелијерство, од 2009. године.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vertAlign w:val="baseline"/>
                <w:rtl w:val="0"/>
              </w:rPr>
              <w:t xml:space="preserve">Ужа научна односно уметничка област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Align w:val="top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vertAlign w:val="baseline"/>
                <w:rtl w:val="0"/>
              </w:rPr>
              <w:t xml:space="preserve">Академска каријера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Година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Институција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2022.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Географија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Докторат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2012.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Географија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Магистарски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2009.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Географија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Диплома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2005.</w:t>
            </w:r>
          </w:p>
        </w:tc>
        <w:tc>
          <w:tcPr>
            <w:gridSpan w:val="5"/>
            <w:vAlign w:val="top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Географија</w:t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vertAlign w:val="baseline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Р.Б.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Ознака предмета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Назив предмета    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Вид наставе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Назив студијског програма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Т324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Управљање заштићеним природним добрима 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Основне академске студије Туризам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ГЕ404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Агроеколошки проблеми у Војводини 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Основне академске студије Географија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51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ДГ604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Заштита природе у Србији и Југоисточној Европи</w:t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Основне академске студије Географија</w:t>
            </w:r>
          </w:p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Основне академске студије Професор географије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7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МГЕ511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Мониторинг животне средин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Мастер академске студије Географија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vertAlign w:val="baseline"/>
                <w:rtl w:val="0"/>
              </w:rPr>
              <w:t xml:space="preserve">Репрезентативне референце (минимално 5 не више од 10)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Stojanović, V., Pavić,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Pantelić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 2014. Geografija životne sredine. Univerzitet u Novom Sadu, Prirodno-matematički fakultet, Departman za geografiju, turizam i hotelijerstvo, 298.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Sojanović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Pantelić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Savić S. 2022. Environmental Issues in Serbia: Pollution and Nature Conservation. Chapter V. In: The Geography of Serbia - Nature, People, Economy. Springer, 263-277.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Pantelić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., Dolinaj D., Savić S., Milošević D., Obradović S., Leščešen I., Ogrin M., Ogrin D., Glojek K.,Trobec T. 2022. Physical-chemical water quality study of the Sava River in Serbia using the statistical and factor analysis. Water Resources 49 (6), 1048-1058. DOI 10.1134/S0097807822060136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z w:val="14"/>
                <w:szCs w:val="14"/>
                <w:vertAlign w:val="baseline"/>
                <w:rtl w:val="0"/>
              </w:rPr>
              <w:t xml:space="preserve">Pantelić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14"/>
                <w:szCs w:val="14"/>
                <w:vertAlign w:val="baseline"/>
                <w:rtl w:val="0"/>
              </w:rPr>
              <w:t xml:space="preserve">, Dolinaj D., Savić S., Leščešen I., Stojanović V., 2016.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Water Quality and Population Standpoints as Factors Influencing the Utilization for Agricultural Purposes of the Great Bačka Canal,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14"/>
                <w:szCs w:val="14"/>
                <w:vertAlign w:val="baseline"/>
                <w:rtl w:val="0"/>
              </w:rPr>
              <w:t xml:space="preserve">Journal of Environmental Science and Management, 19 (2), 8-14.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vertAlign w:val="baseline"/>
                <w:rtl w:val="0"/>
              </w:rPr>
              <w:t xml:space="preserve">Pantelić,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 Dolinaj, D., Leščešen, I., Savić, S., Milošević, D. 2015. Water Quality Of The Pannonian Basin Rivers The Danube, The Sava And The Tisa (Serbia) And Its Correlation With Air Temperature. Thermal Science, doi: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sz w:val="14"/>
                  <w:szCs w:val="14"/>
                  <w:vertAlign w:val="baseline"/>
                  <w:rtl w:val="0"/>
                </w:rPr>
                <w:t xml:space="preserve">10.2298/TSCI150325114P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vertAlign w:val="baseline"/>
                <w:rtl w:val="0"/>
              </w:rPr>
              <w:t xml:space="preserve">Pantelić,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 Đurđev, B., Stankov, U., Dragićević, V., Dolinaj, D. 2012. Water Quality аs аn Indicator оf Local Residents' Attitudes Towards Tourism Development: A Case Study оf Settlements Along Veliki Bački Kanal, Vojvodina, Serbia. Knowledge and Management of Aquatic Ecosystems, 404 (09), 1-19.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vertAlign w:val="baseline"/>
                <w:rtl w:val="0"/>
              </w:rPr>
              <w:t xml:space="preserve">Pantelić,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 M., Dolinaj, D., Savić, S., Stojanović, V., Nađ, I. 2012. Statistical Analysis оf Water Quality Parametres оf Veliki Bački Canal (Vojvodina, Serbia) in the Period 2000-2009. Carpathian Journal of Earth and Environmental Sciences, 7 (2), 255-264.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Obradović S., Stojanović V., Tešin A., Šećerov I.,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Pantelić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Dolinaj D. 2022. Memorable Tourist Experiences in National Parks: Impacts on Future Intentions and Environmentally Responsible Behavior. 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15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(1), 547. doi.org/10.3390/su15010547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Obradović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Pantelić M.,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Stojanović V., Tešin A., Dolinaj D. 2020. Danube water quality and assessment on ecotourism in the biosphere reserve ‘Bačko Podunavlje’ in Serbia. Water Supply, 20 (4), 1215–1228. 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Obradović S., Stojanović V., Kovačić S., Jovanović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Pantelić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., Vujičić M. 2021. Assessment of residents’ attitudes toward sustainable tourism development - A case study of Bačko Podunavlje Biosphere Reserve, Serbia. Journal of Outdoor Recreation and Tourism, 35, 100384.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0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vertAlign w:val="baseline"/>
                <w:rtl w:val="0"/>
              </w:rPr>
              <w:t xml:space="preserve">Збирни подаци научне, односно уметничке и стручне активности наставника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267 (према Scopus-у)</w:t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22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Домаћи: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Међународни. -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B9">
            <w:pPr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baseline"/>
                <w:rtl w:val="0"/>
              </w:rPr>
              <w:t xml:space="preserve">-</w:t>
            </w:r>
          </w:p>
        </w:tc>
      </w:tr>
    </w:tbl>
    <w:p w:rsidR="00000000" w:rsidDel="00000000" w:rsidP="00000000" w:rsidRDefault="00000000" w:rsidRPr="00000000" w14:paraId="000001C3">
      <w:pPr>
        <w:rPr>
          <w:rFonts w:ascii="Times New Roman" w:cs="Times New Roman" w:eastAsia="Times New Roman" w:hAnsi="Times New Roman"/>
          <w:sz w:val="14"/>
          <w:szCs w:val="14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x.doi.org/10.2298/TSCI150325114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