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0" w:type="dxa"/>
        <w:jc w:val="center"/>
        <w:tblLayout w:type="fixed"/>
        <w:tblLook w:val="0000"/>
      </w:tblPr>
      <w:tblGrid>
        <w:gridCol w:w="3356"/>
        <w:gridCol w:w="250"/>
        <w:gridCol w:w="1821"/>
        <w:gridCol w:w="1260"/>
        <w:gridCol w:w="2146"/>
        <w:gridCol w:w="1347"/>
      </w:tblGrid>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shd w:val="clear" w:color="auto" w:fill="auto"/>
          </w:tcPr>
          <w:p w:rsidR="0054142E" w:rsidRPr="00C62983" w:rsidRDefault="0054142E" w:rsidP="0054142E">
            <w:pPr>
              <w:rPr>
                <w:sz w:val="20"/>
                <w:szCs w:val="20"/>
                <w:lang w:val="ru-RU"/>
              </w:rPr>
            </w:pPr>
            <w:r w:rsidRPr="00C62983">
              <w:rPr>
                <w:b/>
                <w:bCs/>
                <w:sz w:val="20"/>
                <w:szCs w:val="20"/>
                <w:lang w:val="ru-RU"/>
              </w:rPr>
              <w:t>Назив предмета:</w:t>
            </w:r>
            <w:r w:rsidRPr="00C62983">
              <w:rPr>
                <w:bCs/>
                <w:sz w:val="20"/>
                <w:szCs w:val="20"/>
                <w:lang w:val="sr-Cyrl-CS"/>
              </w:rPr>
              <w:t>Стратешки маркетинг туристичке дестинације</w:t>
            </w:r>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54142E">
            <w:pPr>
              <w:widowControl/>
              <w:autoSpaceDE/>
              <w:autoSpaceDN/>
              <w:adjustRightInd/>
              <w:rPr>
                <w:sz w:val="20"/>
                <w:szCs w:val="20"/>
                <w:lang w:val="sr-Cyrl-CS"/>
              </w:rPr>
            </w:pPr>
            <w:r w:rsidRPr="00C62983">
              <w:rPr>
                <w:b/>
                <w:bCs/>
                <w:sz w:val="20"/>
                <w:szCs w:val="20"/>
                <w:lang w:val="ru-RU"/>
              </w:rPr>
              <w:t>Наставник или наставници</w:t>
            </w:r>
            <w:r w:rsidRPr="00C62983">
              <w:rPr>
                <w:bCs/>
                <w:sz w:val="20"/>
                <w:szCs w:val="20"/>
                <w:lang w:val="ru-RU"/>
              </w:rPr>
              <w:t>:</w:t>
            </w:r>
            <w:r w:rsidR="007F39AD">
              <w:rPr>
                <w:bCs/>
                <w:sz w:val="20"/>
                <w:szCs w:val="20"/>
                <w:lang/>
              </w:rPr>
              <w:t xml:space="preserve"> </w:t>
            </w:r>
            <w:hyperlink r:id="rId7" w:history="1">
              <w:r w:rsidRPr="007F39AD">
                <w:rPr>
                  <w:rStyle w:val="Hyperlink"/>
                  <w:bCs/>
                  <w:sz w:val="20"/>
                  <w:szCs w:val="20"/>
                  <w:lang w:val="sr-Cyrl-CS"/>
                </w:rPr>
                <w:t>др Ћурчић Невена</w:t>
              </w:r>
            </w:hyperlink>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4A0F49">
            <w:pPr>
              <w:rPr>
                <w:sz w:val="20"/>
                <w:szCs w:val="20"/>
                <w:lang w:val="sr-Cyrl-CS"/>
              </w:rPr>
            </w:pPr>
            <w:r w:rsidRPr="00C62983">
              <w:rPr>
                <w:b/>
                <w:bCs/>
                <w:sz w:val="20"/>
                <w:szCs w:val="20"/>
              </w:rPr>
              <w:t xml:space="preserve">Статус предмета: </w:t>
            </w:r>
            <w:r w:rsidRPr="00C62983">
              <w:rPr>
                <w:sz w:val="20"/>
                <w:szCs w:val="20"/>
                <w:lang w:val="sr-Cyrl-CS"/>
              </w:rPr>
              <w:t>изборни</w:t>
            </w:r>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4A0F49">
            <w:pPr>
              <w:rPr>
                <w:sz w:val="20"/>
                <w:szCs w:val="20"/>
              </w:rPr>
            </w:pPr>
            <w:r w:rsidRPr="00C62983">
              <w:rPr>
                <w:b/>
                <w:bCs/>
                <w:sz w:val="20"/>
                <w:szCs w:val="20"/>
              </w:rPr>
              <w:t xml:space="preserve">Број ЕСПБ: </w:t>
            </w:r>
            <w:r w:rsidR="0073552B">
              <w:rPr>
                <w:sz w:val="20"/>
                <w:szCs w:val="20"/>
              </w:rPr>
              <w:t>15</w:t>
            </w:r>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54142E">
            <w:pPr>
              <w:rPr>
                <w:sz w:val="20"/>
                <w:szCs w:val="20"/>
                <w:lang w:val="sr-Cyrl-CS"/>
              </w:rPr>
            </w:pPr>
            <w:r w:rsidRPr="00C62983">
              <w:rPr>
                <w:b/>
                <w:bCs/>
                <w:sz w:val="20"/>
                <w:szCs w:val="20"/>
                <w:lang w:val="ru-RU"/>
              </w:rPr>
              <w:t xml:space="preserve">Услов: </w:t>
            </w:r>
            <w:r w:rsidR="001A2D4D">
              <w:rPr>
                <w:sz w:val="20"/>
                <w:szCs w:val="20"/>
                <w:lang w:val="sr-Cyrl-CS"/>
              </w:rPr>
              <w:t>-</w:t>
            </w:r>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4A0F49">
            <w:pPr>
              <w:rPr>
                <w:b/>
                <w:bCs/>
                <w:sz w:val="20"/>
                <w:szCs w:val="20"/>
                <w:lang w:val="ru-RU"/>
              </w:rPr>
            </w:pPr>
            <w:r w:rsidRPr="00C62983">
              <w:rPr>
                <w:b/>
                <w:bCs/>
                <w:sz w:val="20"/>
                <w:szCs w:val="20"/>
                <w:lang w:val="ru-RU"/>
              </w:rPr>
              <w:t>Циљ предмета</w:t>
            </w:r>
          </w:p>
          <w:p w:rsidR="0054142E" w:rsidRPr="00C62983" w:rsidRDefault="0054142E" w:rsidP="00831A84">
            <w:pPr>
              <w:jc w:val="both"/>
              <w:rPr>
                <w:sz w:val="20"/>
                <w:szCs w:val="20"/>
                <w:lang w:val="sr-Cyrl-CS"/>
              </w:rPr>
            </w:pPr>
            <w:r w:rsidRPr="00C62983">
              <w:rPr>
                <w:sz w:val="20"/>
                <w:szCs w:val="20"/>
                <w:lang w:val="sr-Cyrl-CS"/>
              </w:rPr>
              <w:t>Упознавање, кроз теоријска и практична знања и примере, како дестинација треба да приступи стр</w:t>
            </w:r>
            <w:r w:rsidR="00430D17" w:rsidRPr="00C62983">
              <w:rPr>
                <w:sz w:val="20"/>
                <w:szCs w:val="20"/>
                <w:lang w:val="sr-Cyrl-CS"/>
              </w:rPr>
              <w:t>а</w:t>
            </w:r>
            <w:r w:rsidRPr="00C62983">
              <w:rPr>
                <w:sz w:val="20"/>
                <w:szCs w:val="20"/>
                <w:lang w:val="sr-Cyrl-CS"/>
              </w:rPr>
              <w:t xml:space="preserve">тешком планирању </w:t>
            </w:r>
            <w:r w:rsidR="00430D17" w:rsidRPr="00C62983">
              <w:rPr>
                <w:sz w:val="20"/>
                <w:szCs w:val="20"/>
                <w:lang w:val="sr-Cyrl-CS"/>
              </w:rPr>
              <w:t>маркетинга</w:t>
            </w:r>
            <w:r w:rsidR="0047069E" w:rsidRPr="00C62983">
              <w:rPr>
                <w:sz w:val="20"/>
                <w:szCs w:val="20"/>
                <w:lang w:val="sr-Cyrl-CS"/>
              </w:rPr>
              <w:t xml:space="preserve">, </w:t>
            </w:r>
            <w:r w:rsidR="00430D17" w:rsidRPr="00C62983">
              <w:rPr>
                <w:sz w:val="20"/>
                <w:szCs w:val="20"/>
                <w:lang w:val="sr-Cyrl-CS"/>
              </w:rPr>
              <w:t xml:space="preserve">ко су носиоци маркетинг планова и како </w:t>
            </w:r>
            <w:r w:rsidR="0047069E" w:rsidRPr="00C62983">
              <w:rPr>
                <w:sz w:val="20"/>
                <w:szCs w:val="20"/>
                <w:lang w:val="sr-Cyrl-CS"/>
              </w:rPr>
              <w:t xml:space="preserve">планови </w:t>
            </w:r>
            <w:r w:rsidR="00430D17" w:rsidRPr="00C62983">
              <w:rPr>
                <w:sz w:val="20"/>
                <w:szCs w:val="20"/>
                <w:lang w:val="sr-Cyrl-CS"/>
              </w:rPr>
              <w:t xml:space="preserve">утичу на </w:t>
            </w:r>
            <w:r w:rsidR="0047069E" w:rsidRPr="00C62983">
              <w:rPr>
                <w:sz w:val="20"/>
                <w:szCs w:val="20"/>
                <w:lang w:val="sr-Cyrl-CS"/>
              </w:rPr>
              <w:t xml:space="preserve">изградњу </w:t>
            </w:r>
            <w:r w:rsidR="00430D17" w:rsidRPr="00C62983">
              <w:rPr>
                <w:sz w:val="20"/>
                <w:szCs w:val="20"/>
                <w:lang w:val="sr-Cyrl-CS"/>
              </w:rPr>
              <w:t>имиџ</w:t>
            </w:r>
            <w:r w:rsidR="0047069E" w:rsidRPr="00C62983">
              <w:rPr>
                <w:sz w:val="20"/>
                <w:szCs w:val="20"/>
                <w:lang w:val="sr-Cyrl-CS"/>
              </w:rPr>
              <w:t>а</w:t>
            </w:r>
            <w:r w:rsidRPr="00C62983">
              <w:rPr>
                <w:sz w:val="20"/>
                <w:szCs w:val="20"/>
                <w:lang w:val="sr-Cyrl-CS"/>
              </w:rPr>
              <w:t>дестинације</w:t>
            </w:r>
            <w:r w:rsidR="00430D17" w:rsidRPr="00C62983">
              <w:rPr>
                <w:sz w:val="20"/>
                <w:szCs w:val="20"/>
                <w:lang w:val="sr-Cyrl-CS"/>
              </w:rPr>
              <w:t>.</w:t>
            </w:r>
            <w:r w:rsidRPr="00C62983">
              <w:rPr>
                <w:sz w:val="20"/>
                <w:szCs w:val="20"/>
                <w:lang w:val="sr-Cyrl-CS"/>
              </w:rPr>
              <w:t xml:space="preserve"> На овај начин омогућава се разумевање комплексне </w:t>
            </w:r>
            <w:r w:rsidR="00430D17" w:rsidRPr="00C62983">
              <w:rPr>
                <w:sz w:val="20"/>
                <w:szCs w:val="20"/>
                <w:lang w:val="sr-Cyrl-CS"/>
              </w:rPr>
              <w:t>примене свих инструмената маркетинг микс</w:t>
            </w:r>
            <w:r w:rsidR="0047069E" w:rsidRPr="00C62983">
              <w:rPr>
                <w:sz w:val="20"/>
                <w:szCs w:val="20"/>
                <w:lang w:val="sr-Cyrl-CS"/>
              </w:rPr>
              <w:t>а</w:t>
            </w:r>
            <w:r w:rsidRPr="00C62983">
              <w:rPr>
                <w:sz w:val="20"/>
                <w:szCs w:val="20"/>
                <w:lang w:val="sr-Cyrl-CS"/>
              </w:rPr>
              <w:t>и</w:t>
            </w:r>
            <w:r w:rsidR="00430D17" w:rsidRPr="00C62983">
              <w:rPr>
                <w:sz w:val="20"/>
                <w:szCs w:val="20"/>
                <w:lang w:val="sr-Cyrl-CS"/>
              </w:rPr>
              <w:t xml:space="preserve"> њихов синергетски ефекат на туристичку тражњу</w:t>
            </w:r>
            <w:r w:rsidRPr="00C62983">
              <w:rPr>
                <w:sz w:val="20"/>
                <w:szCs w:val="20"/>
                <w:lang w:val="sr-Cyrl-CS"/>
              </w:rPr>
              <w:t xml:space="preserve">. Увођење у смернице како створити </w:t>
            </w:r>
            <w:r w:rsidR="0047069E" w:rsidRPr="00C62983">
              <w:rPr>
                <w:sz w:val="20"/>
                <w:szCs w:val="20"/>
                <w:lang w:val="sr-Cyrl-CS"/>
              </w:rPr>
              <w:t xml:space="preserve">пожељну слику о </w:t>
            </w:r>
            <w:r w:rsidRPr="00C62983">
              <w:rPr>
                <w:sz w:val="20"/>
                <w:szCs w:val="20"/>
                <w:lang w:val="sr-Cyrl-CS"/>
              </w:rPr>
              <w:t>дестинациј</w:t>
            </w:r>
            <w:r w:rsidR="00831A84" w:rsidRPr="00C62983">
              <w:rPr>
                <w:sz w:val="20"/>
                <w:szCs w:val="20"/>
                <w:lang w:val="sr-Cyrl-CS"/>
              </w:rPr>
              <w:t>и</w:t>
            </w:r>
            <w:r w:rsidR="0047069E" w:rsidRPr="00C62983">
              <w:rPr>
                <w:sz w:val="20"/>
                <w:szCs w:val="20"/>
                <w:lang w:val="sr-Cyrl-CS"/>
              </w:rPr>
              <w:t>, како ре-брендирати дестинацију</w:t>
            </w:r>
            <w:r w:rsidR="00831A84" w:rsidRPr="00C62983">
              <w:rPr>
                <w:sz w:val="20"/>
                <w:szCs w:val="20"/>
                <w:lang w:val="sr-Cyrl-CS"/>
              </w:rPr>
              <w:t>, како развити стратешки портфолио производа</w:t>
            </w:r>
            <w:r w:rsidR="0047069E" w:rsidRPr="00C62983">
              <w:rPr>
                <w:sz w:val="20"/>
                <w:szCs w:val="20"/>
                <w:lang w:val="sr-Cyrl-CS"/>
              </w:rPr>
              <w:t xml:space="preserve"> и како мултипликовати ефекте туристичке делатности</w:t>
            </w:r>
            <w:r w:rsidRPr="00C62983">
              <w:rPr>
                <w:sz w:val="20"/>
                <w:szCs w:val="20"/>
                <w:lang w:val="sr-Cyrl-CS"/>
              </w:rPr>
              <w:t xml:space="preserve"> са представљањем модела </w:t>
            </w:r>
            <w:r w:rsidR="0047069E" w:rsidRPr="00C62983">
              <w:rPr>
                <w:sz w:val="20"/>
                <w:szCs w:val="20"/>
                <w:lang w:val="sr-Cyrl-CS"/>
              </w:rPr>
              <w:t>управљања маркетингом туристичке дестинације.</w:t>
            </w:r>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4A0F49">
            <w:pPr>
              <w:rPr>
                <w:sz w:val="20"/>
                <w:szCs w:val="20"/>
                <w:lang w:val="ru-RU"/>
              </w:rPr>
            </w:pPr>
            <w:r w:rsidRPr="00C62983">
              <w:rPr>
                <w:b/>
                <w:bCs/>
                <w:sz w:val="20"/>
                <w:szCs w:val="20"/>
                <w:lang w:val="ru-RU"/>
              </w:rPr>
              <w:t xml:space="preserve">Исход предмета </w:t>
            </w:r>
          </w:p>
          <w:p w:rsidR="0054142E" w:rsidRPr="00C62983" w:rsidRDefault="0054142E" w:rsidP="00530D89">
            <w:pPr>
              <w:jc w:val="both"/>
              <w:rPr>
                <w:sz w:val="20"/>
                <w:szCs w:val="20"/>
                <w:lang w:val="en-GB"/>
              </w:rPr>
            </w:pPr>
            <w:r w:rsidRPr="00C62983">
              <w:rPr>
                <w:sz w:val="20"/>
                <w:szCs w:val="20"/>
                <w:lang w:val="sr-Cyrl-CS"/>
              </w:rPr>
              <w:t xml:space="preserve">Упознавање </w:t>
            </w:r>
            <w:r w:rsidR="00512223" w:rsidRPr="00C62983">
              <w:rPr>
                <w:sz w:val="20"/>
                <w:szCs w:val="20"/>
                <w:lang/>
              </w:rPr>
              <w:t xml:space="preserve">студената </w:t>
            </w:r>
            <w:r w:rsidRPr="00C62983">
              <w:rPr>
                <w:sz w:val="20"/>
                <w:szCs w:val="20"/>
                <w:lang/>
              </w:rPr>
              <w:t xml:space="preserve">са </w:t>
            </w:r>
            <w:r w:rsidR="00530D89" w:rsidRPr="00C62983">
              <w:rPr>
                <w:sz w:val="20"/>
                <w:szCs w:val="20"/>
                <w:lang/>
              </w:rPr>
              <w:t xml:space="preserve">стратегијским маркетинг планом </w:t>
            </w:r>
            <w:r w:rsidRPr="00C62983">
              <w:rPr>
                <w:sz w:val="20"/>
                <w:szCs w:val="20"/>
                <w:lang w:val="sr-Cyrl-CS"/>
              </w:rPr>
              <w:t xml:space="preserve">туристичке дестинације. Разумевање </w:t>
            </w:r>
            <w:r w:rsidR="00530D89" w:rsidRPr="00C62983">
              <w:rPr>
                <w:sz w:val="20"/>
                <w:szCs w:val="20"/>
                <w:lang w:val="sr-Cyrl-CS"/>
              </w:rPr>
              <w:t xml:space="preserve">процеса планирања и </w:t>
            </w:r>
            <w:r w:rsidRPr="00C62983">
              <w:rPr>
                <w:sz w:val="20"/>
                <w:szCs w:val="20"/>
                <w:lang w:val="sr-Cyrl-CS"/>
              </w:rPr>
              <w:t xml:space="preserve">функционисања </w:t>
            </w:r>
            <w:r w:rsidR="00530D89" w:rsidRPr="00C62983">
              <w:rPr>
                <w:sz w:val="20"/>
                <w:szCs w:val="20"/>
                <w:lang w:val="sr-Cyrl-CS"/>
              </w:rPr>
              <w:t>маркетинг плана</w:t>
            </w:r>
            <w:r w:rsidRPr="00C62983">
              <w:rPr>
                <w:sz w:val="20"/>
                <w:szCs w:val="20"/>
                <w:lang w:val="sr-Cyrl-CS"/>
              </w:rPr>
              <w:t xml:space="preserve">, </w:t>
            </w:r>
            <w:r w:rsidR="00530D89" w:rsidRPr="00C62983">
              <w:rPr>
                <w:sz w:val="20"/>
                <w:szCs w:val="20"/>
                <w:lang w:val="sr-Cyrl-CS"/>
              </w:rPr>
              <w:t xml:space="preserve">примене појединих алата за комуникацију, </w:t>
            </w:r>
            <w:r w:rsidR="00430D17" w:rsidRPr="00C62983">
              <w:rPr>
                <w:sz w:val="20"/>
                <w:szCs w:val="20"/>
                <w:lang w:val="sr-Cyrl-CS"/>
              </w:rPr>
              <w:t xml:space="preserve">важност </w:t>
            </w:r>
            <w:r w:rsidR="00530D89" w:rsidRPr="00C62983">
              <w:rPr>
                <w:sz w:val="20"/>
                <w:szCs w:val="20"/>
                <w:lang w:val="sr-Cyrl-CS"/>
              </w:rPr>
              <w:t xml:space="preserve">тржишног позиционирања </w:t>
            </w:r>
            <w:r w:rsidR="00430D17" w:rsidRPr="00C62983">
              <w:rPr>
                <w:sz w:val="20"/>
                <w:szCs w:val="20"/>
                <w:lang w:val="sr-Cyrl-CS"/>
              </w:rPr>
              <w:t xml:space="preserve">саме </w:t>
            </w:r>
            <w:r w:rsidRPr="00C62983">
              <w:rPr>
                <w:sz w:val="20"/>
                <w:szCs w:val="20"/>
                <w:lang w:val="sr-Cyrl-CS"/>
              </w:rPr>
              <w:t xml:space="preserve">дестинације. Оспособљавање студената за управљање </w:t>
            </w:r>
            <w:r w:rsidR="00430D17" w:rsidRPr="00C62983">
              <w:rPr>
                <w:sz w:val="20"/>
                <w:szCs w:val="20"/>
                <w:lang w:val="sr-Cyrl-CS"/>
              </w:rPr>
              <w:t>стратегијским маркетинг планирањем на нивоу туристичке дестинације</w:t>
            </w:r>
            <w:r w:rsidR="00692199" w:rsidRPr="00C62983">
              <w:rPr>
                <w:sz w:val="20"/>
                <w:szCs w:val="20"/>
                <w:lang w:val="en-GB"/>
              </w:rPr>
              <w:t>.</w:t>
            </w:r>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4A0F49">
            <w:pPr>
              <w:jc w:val="both"/>
              <w:rPr>
                <w:b/>
                <w:bCs/>
                <w:sz w:val="20"/>
                <w:szCs w:val="20"/>
                <w:lang w:val="ru-RU"/>
              </w:rPr>
            </w:pPr>
            <w:r w:rsidRPr="00C62983">
              <w:rPr>
                <w:b/>
                <w:bCs/>
                <w:sz w:val="20"/>
                <w:szCs w:val="20"/>
                <w:lang w:val="ru-RU"/>
              </w:rPr>
              <w:t>Садржај предмета</w:t>
            </w:r>
          </w:p>
          <w:p w:rsidR="0054142E" w:rsidRPr="00C62983" w:rsidRDefault="0054142E" w:rsidP="004A0F49">
            <w:pPr>
              <w:jc w:val="both"/>
              <w:rPr>
                <w:i/>
                <w:iCs/>
                <w:sz w:val="20"/>
                <w:szCs w:val="20"/>
                <w:lang w:val="ru-RU"/>
              </w:rPr>
            </w:pPr>
            <w:r w:rsidRPr="00C62983">
              <w:rPr>
                <w:i/>
                <w:iCs/>
                <w:sz w:val="20"/>
                <w:szCs w:val="20"/>
                <w:lang w:val="ru-RU"/>
              </w:rPr>
              <w:t>Теоријска настава</w:t>
            </w:r>
          </w:p>
          <w:p w:rsidR="003935BE" w:rsidRPr="00C62983" w:rsidRDefault="003935BE" w:rsidP="004A0F49">
            <w:pPr>
              <w:jc w:val="both"/>
              <w:rPr>
                <w:iCs/>
                <w:sz w:val="20"/>
                <w:szCs w:val="20"/>
                <w:lang w:val="ru-RU"/>
              </w:rPr>
            </w:pPr>
            <w:r w:rsidRPr="00C62983">
              <w:rPr>
                <w:iCs/>
                <w:sz w:val="20"/>
                <w:szCs w:val="20"/>
                <w:lang w:val="ru-RU"/>
              </w:rPr>
              <w:t xml:space="preserve">Концепција маркетинга туристичке дестинације. Управљање маркетингом туристичке дестинације. </w:t>
            </w:r>
            <w:r w:rsidR="00A6265E" w:rsidRPr="00C62983">
              <w:rPr>
                <w:iCs/>
                <w:sz w:val="20"/>
                <w:szCs w:val="20"/>
                <w:lang w:val="ru-RU"/>
              </w:rPr>
              <w:t xml:space="preserve">Креирање заједничке развојне визије свих стејкхолдера у туристичкој дестинацији. </w:t>
            </w:r>
            <w:r w:rsidR="00530D89" w:rsidRPr="00C62983">
              <w:rPr>
                <w:iCs/>
                <w:sz w:val="20"/>
                <w:szCs w:val="20"/>
                <w:lang w:val="ru-RU"/>
              </w:rPr>
              <w:t xml:space="preserve">Маркетинг као инструмент оптимизације учинака туризма и реализације стратегијских циљева. </w:t>
            </w:r>
            <w:r w:rsidRPr="00C62983">
              <w:rPr>
                <w:iCs/>
                <w:sz w:val="20"/>
                <w:szCs w:val="20"/>
                <w:lang w:val="ru-RU"/>
              </w:rPr>
              <w:t xml:space="preserve">Маркетиншке стратегије засноване на истраживању тржишта. Стратешки развој </w:t>
            </w:r>
            <w:r w:rsidR="00430D17" w:rsidRPr="00C62983">
              <w:rPr>
                <w:iCs/>
                <w:sz w:val="20"/>
                <w:szCs w:val="20"/>
                <w:lang w:val="ru-RU"/>
              </w:rPr>
              <w:t xml:space="preserve">тржишне </w:t>
            </w:r>
            <w:r w:rsidRPr="00C62983">
              <w:rPr>
                <w:iCs/>
                <w:sz w:val="20"/>
                <w:szCs w:val="20"/>
                <w:lang w:val="ru-RU"/>
              </w:rPr>
              <w:t xml:space="preserve">марке </w:t>
            </w:r>
            <w:r w:rsidR="00530D89" w:rsidRPr="00C62983">
              <w:rPr>
                <w:iCs/>
                <w:sz w:val="20"/>
                <w:szCs w:val="20"/>
                <w:lang w:val="ru-RU"/>
              </w:rPr>
              <w:t xml:space="preserve">(бренда) </w:t>
            </w:r>
            <w:r w:rsidRPr="00C62983">
              <w:rPr>
                <w:iCs/>
                <w:sz w:val="20"/>
                <w:szCs w:val="20"/>
                <w:lang w:val="ru-RU"/>
              </w:rPr>
              <w:t xml:space="preserve">и конкурентско позиционирање туристичке дестинације. </w:t>
            </w:r>
            <w:r w:rsidR="00A6265E" w:rsidRPr="00C62983">
              <w:rPr>
                <w:iCs/>
                <w:sz w:val="20"/>
                <w:szCs w:val="20"/>
                <w:lang w:val="ru-RU"/>
              </w:rPr>
              <w:t xml:space="preserve">Остваривање стратешког повезивања јавног и приватног сектора на нивоу маркетинг планирања у туристичкој дестинацији. </w:t>
            </w:r>
            <w:r w:rsidR="00126FB6" w:rsidRPr="00C62983">
              <w:rPr>
                <w:iCs/>
                <w:sz w:val="20"/>
                <w:szCs w:val="20"/>
                <w:lang w:val="ru-RU"/>
              </w:rPr>
              <w:t xml:space="preserve">Изазови стратегијског планирања у условима кризе. </w:t>
            </w:r>
            <w:r w:rsidR="00530D89" w:rsidRPr="00C62983">
              <w:rPr>
                <w:iCs/>
                <w:sz w:val="20"/>
                <w:szCs w:val="20"/>
                <w:lang w:val="ru-RU"/>
              </w:rPr>
              <w:t>Примери и анализа стратешких маркетинг планова.</w:t>
            </w:r>
          </w:p>
          <w:p w:rsidR="00530D89" w:rsidRPr="00C62983" w:rsidRDefault="00530D89" w:rsidP="004A0F49">
            <w:pPr>
              <w:jc w:val="both"/>
              <w:rPr>
                <w:iCs/>
                <w:sz w:val="20"/>
                <w:szCs w:val="20"/>
                <w:lang w:val="ru-RU"/>
              </w:rPr>
            </w:pPr>
          </w:p>
          <w:p w:rsidR="0054142E" w:rsidRPr="00C62983" w:rsidRDefault="0054142E" w:rsidP="004A0F49">
            <w:pPr>
              <w:jc w:val="both"/>
              <w:rPr>
                <w:i/>
                <w:iCs/>
                <w:sz w:val="20"/>
                <w:szCs w:val="20"/>
                <w:lang w:val="ru-RU"/>
              </w:rPr>
            </w:pPr>
            <w:r w:rsidRPr="00C62983">
              <w:rPr>
                <w:i/>
                <w:iCs/>
                <w:sz w:val="20"/>
                <w:szCs w:val="20"/>
                <w:lang w:val="ru-RU"/>
              </w:rPr>
              <w:t xml:space="preserve">Практична настава </w:t>
            </w:r>
          </w:p>
          <w:p w:rsidR="0054142E" w:rsidRPr="00C62983" w:rsidRDefault="0054142E" w:rsidP="00A6265E">
            <w:pPr>
              <w:jc w:val="both"/>
              <w:rPr>
                <w:sz w:val="20"/>
                <w:szCs w:val="20"/>
                <w:lang w:val="ru-RU"/>
              </w:rPr>
            </w:pPr>
            <w:r w:rsidRPr="00C62983">
              <w:rPr>
                <w:sz w:val="20"/>
                <w:szCs w:val="20"/>
                <w:lang w:val="ru-RU"/>
              </w:rPr>
              <w:t xml:space="preserve">Самостално креирање </w:t>
            </w:r>
            <w:r w:rsidR="00A6265E" w:rsidRPr="00C62983">
              <w:rPr>
                <w:sz w:val="20"/>
                <w:szCs w:val="20"/>
                <w:lang w:val="ru-RU"/>
              </w:rPr>
              <w:t xml:space="preserve">стратешког маркетинг плана </w:t>
            </w:r>
            <w:r w:rsidRPr="00C62983">
              <w:rPr>
                <w:sz w:val="20"/>
                <w:szCs w:val="20"/>
                <w:lang w:val="ru-RU"/>
              </w:rPr>
              <w:t>т</w:t>
            </w:r>
            <w:r w:rsidR="00A6265E" w:rsidRPr="00C62983">
              <w:rPr>
                <w:sz w:val="20"/>
                <w:szCs w:val="20"/>
                <w:lang w:val="ru-RU"/>
              </w:rPr>
              <w:t xml:space="preserve">уристичке </w:t>
            </w:r>
            <w:r w:rsidRPr="00C62983">
              <w:rPr>
                <w:sz w:val="20"/>
                <w:szCs w:val="20"/>
                <w:lang w:val="ru-RU"/>
              </w:rPr>
              <w:t>дестинације.</w:t>
            </w:r>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4A0F49">
            <w:pPr>
              <w:rPr>
                <w:b/>
                <w:bCs/>
                <w:sz w:val="20"/>
                <w:szCs w:val="20"/>
                <w:lang/>
              </w:rPr>
            </w:pPr>
            <w:r w:rsidRPr="00C62983">
              <w:rPr>
                <w:b/>
                <w:bCs/>
                <w:sz w:val="20"/>
                <w:szCs w:val="20"/>
                <w:lang w:val="ru-RU"/>
              </w:rPr>
              <w:t>Препоручена литература:</w:t>
            </w:r>
          </w:p>
          <w:p w:rsidR="00692199" w:rsidRPr="00C62983" w:rsidRDefault="00692199" w:rsidP="00692199">
            <w:pPr>
              <w:widowControl/>
              <w:numPr>
                <w:ilvl w:val="0"/>
                <w:numId w:val="3"/>
              </w:numPr>
              <w:autoSpaceDE/>
              <w:autoSpaceDN/>
              <w:adjustRightInd/>
              <w:ind w:left="714" w:hanging="357"/>
              <w:contextualSpacing/>
              <w:jc w:val="both"/>
              <w:rPr>
                <w:sz w:val="20"/>
                <w:szCs w:val="20"/>
                <w:lang w:val="sr-Cyrl-CS"/>
              </w:rPr>
            </w:pPr>
            <w:r w:rsidRPr="00C62983">
              <w:rPr>
                <w:sz w:val="20"/>
                <w:szCs w:val="20"/>
                <w:lang/>
              </w:rPr>
              <w:t>Edited by Rodoula H. Tsiotsou, Ronald E. Goldsmith (2012)</w:t>
            </w:r>
            <w:r w:rsidR="00C62983" w:rsidRPr="00C62983">
              <w:rPr>
                <w:sz w:val="20"/>
                <w:szCs w:val="20"/>
                <w:lang/>
              </w:rPr>
              <w:t>.</w:t>
            </w:r>
            <w:r w:rsidRPr="00C62983">
              <w:rPr>
                <w:bCs/>
                <w:kern w:val="36"/>
                <w:sz w:val="20"/>
                <w:szCs w:val="20"/>
                <w:lang/>
              </w:rPr>
              <w:t xml:space="preserve">Strategic Marketing in Tourism Services. </w:t>
            </w:r>
            <w:r w:rsidRPr="00C62983">
              <w:rPr>
                <w:sz w:val="20"/>
                <w:szCs w:val="20"/>
                <w:lang/>
              </w:rPr>
              <w:t>Emerald Group Publishing.</w:t>
            </w:r>
          </w:p>
          <w:p w:rsidR="00692199" w:rsidRPr="00C62983" w:rsidRDefault="00692199" w:rsidP="00692199">
            <w:pPr>
              <w:numPr>
                <w:ilvl w:val="0"/>
                <w:numId w:val="3"/>
              </w:numPr>
              <w:jc w:val="both"/>
              <w:rPr>
                <w:sz w:val="20"/>
                <w:szCs w:val="20"/>
              </w:rPr>
            </w:pPr>
            <w:r w:rsidRPr="00C62983">
              <w:rPr>
                <w:sz w:val="20"/>
                <w:szCs w:val="20"/>
                <w:lang/>
              </w:rPr>
              <w:t>Pričard</w:t>
            </w:r>
            <w:r w:rsidRPr="00C62983">
              <w:rPr>
                <w:sz w:val="20"/>
                <w:szCs w:val="20"/>
                <w:lang/>
              </w:rPr>
              <w:t xml:space="preserve"> А.</w:t>
            </w:r>
            <w:r w:rsidRPr="00C62983">
              <w:rPr>
                <w:sz w:val="20"/>
                <w:szCs w:val="20"/>
                <w:lang/>
              </w:rPr>
              <w:t>, Morgan N</w:t>
            </w:r>
            <w:r w:rsidRPr="00C62983">
              <w:rPr>
                <w:sz w:val="20"/>
                <w:szCs w:val="20"/>
                <w:lang/>
              </w:rPr>
              <w:t>.</w:t>
            </w:r>
            <w:r w:rsidRPr="00C62983">
              <w:rPr>
                <w:sz w:val="20"/>
                <w:szCs w:val="20"/>
                <w:lang/>
              </w:rPr>
              <w:t>, PrajdR</w:t>
            </w:r>
            <w:r w:rsidRPr="00C62983">
              <w:rPr>
                <w:sz w:val="20"/>
                <w:szCs w:val="20"/>
                <w:lang/>
              </w:rPr>
              <w:t>. (2015)</w:t>
            </w:r>
            <w:r w:rsidRPr="00C62983">
              <w:rPr>
                <w:sz w:val="20"/>
                <w:szCs w:val="20"/>
                <w:lang/>
              </w:rPr>
              <w:t>.Destinacija kao brend. CLIO, Beograd</w:t>
            </w:r>
          </w:p>
          <w:p w:rsidR="00E05969" w:rsidRPr="00C62983" w:rsidRDefault="00E05969" w:rsidP="00692199">
            <w:pPr>
              <w:widowControl/>
              <w:numPr>
                <w:ilvl w:val="0"/>
                <w:numId w:val="3"/>
              </w:numPr>
              <w:autoSpaceDE/>
              <w:autoSpaceDN/>
              <w:adjustRightInd/>
              <w:contextualSpacing/>
              <w:jc w:val="both"/>
              <w:rPr>
                <w:sz w:val="20"/>
                <w:szCs w:val="20"/>
                <w:lang w:val="sr-Cyrl-CS"/>
              </w:rPr>
            </w:pPr>
            <w:r w:rsidRPr="00C62983">
              <w:rPr>
                <w:sz w:val="20"/>
                <w:szCs w:val="20"/>
                <w:lang w:val="sr-Latn-CS"/>
              </w:rPr>
              <w:t>Ćurčić N., Garača V. (2013)</w:t>
            </w:r>
            <w:r w:rsidR="00C62983" w:rsidRPr="00C62983">
              <w:rPr>
                <w:sz w:val="20"/>
                <w:szCs w:val="20"/>
                <w:lang/>
              </w:rPr>
              <w:t>.</w:t>
            </w:r>
            <w:r w:rsidRPr="00C62983">
              <w:rPr>
                <w:sz w:val="20"/>
                <w:szCs w:val="20"/>
                <w:lang w:val="sr-Latn-CS"/>
              </w:rPr>
              <w:t xml:space="preserve"> Tourist identity of Serbia in correlation to the promotional activities. International Thematic Proceedings „National and European identity in the process of European integration“, Edited by Pero Petrović, Milovan Radaković, Institute of International Politics and Economics, Belgrade,  Pp.745-760  UDC 338.48:323.15(497.11),  ISBN 978-86-7067-180-5</w:t>
            </w:r>
          </w:p>
          <w:p w:rsidR="00AD6F0F" w:rsidRPr="00C62983" w:rsidRDefault="00AD6F0F" w:rsidP="00692199">
            <w:pPr>
              <w:widowControl/>
              <w:numPr>
                <w:ilvl w:val="0"/>
                <w:numId w:val="3"/>
              </w:numPr>
              <w:autoSpaceDE/>
              <w:autoSpaceDN/>
              <w:adjustRightInd/>
              <w:contextualSpacing/>
              <w:jc w:val="both"/>
              <w:rPr>
                <w:rStyle w:val="hps"/>
                <w:sz w:val="20"/>
                <w:szCs w:val="20"/>
              </w:rPr>
            </w:pPr>
            <w:r w:rsidRPr="00C62983">
              <w:rPr>
                <w:rStyle w:val="hps"/>
                <w:sz w:val="20"/>
                <w:szCs w:val="20"/>
              </w:rPr>
              <w:t>Pavlovi</w:t>
            </w:r>
            <w:r w:rsidRPr="00C62983">
              <w:rPr>
                <w:rStyle w:val="hps"/>
                <w:sz w:val="20"/>
                <w:szCs w:val="20"/>
                <w:lang w:val="sr-Latn-CS"/>
              </w:rPr>
              <w:t>ć N., Ćurčić N., Medić S. (2013)</w:t>
            </w:r>
            <w:r w:rsidR="00C62983" w:rsidRPr="00C62983">
              <w:rPr>
                <w:rStyle w:val="hps"/>
                <w:sz w:val="20"/>
                <w:szCs w:val="20"/>
                <w:lang/>
              </w:rPr>
              <w:t>.</w:t>
            </w:r>
            <w:r w:rsidRPr="00C62983">
              <w:rPr>
                <w:rStyle w:val="hps"/>
                <w:sz w:val="20"/>
                <w:szCs w:val="20"/>
                <w:lang w:val="sr-Latn-CS"/>
              </w:rPr>
              <w:t xml:space="preserve"> Preferences and Tourist</w:t>
            </w:r>
            <w:r w:rsidRPr="00C62983">
              <w:rPr>
                <w:rStyle w:val="hps"/>
                <w:sz w:val="20"/>
                <w:szCs w:val="20"/>
              </w:rPr>
              <w:t>’</w:t>
            </w:r>
            <w:r w:rsidRPr="00C62983">
              <w:rPr>
                <w:rStyle w:val="hps"/>
                <w:sz w:val="20"/>
                <w:szCs w:val="20"/>
                <w:lang w:val="sr-Latn-CS"/>
              </w:rPr>
              <w:t xml:space="preserve">s Spends in Tourism Places in the Autonomous Province of Vojvodina. International Conference: Contemporary Trend in Tourism and Hospitality, 2013 – Peace, Culture and Tourism, Collection of Papers, 26-27.septeber 2013, </w:t>
            </w:r>
            <w:r w:rsidRPr="00C62983">
              <w:rPr>
                <w:sz w:val="20"/>
                <w:szCs w:val="20"/>
              </w:rPr>
              <w:t xml:space="preserve">University of Novi Sad, Faculty of Natural Sciences, Serbia, </w:t>
            </w:r>
            <w:r w:rsidRPr="00C62983">
              <w:rPr>
                <w:rStyle w:val="hps"/>
                <w:sz w:val="20"/>
                <w:szCs w:val="20"/>
                <w:lang w:val="sr-Latn-CS"/>
              </w:rPr>
              <w:t>pp.211-218  ISBN 978-86-7031-310-1</w:t>
            </w:r>
          </w:p>
          <w:p w:rsidR="00E05969" w:rsidRPr="00C62983" w:rsidRDefault="00E05969" w:rsidP="00692199">
            <w:pPr>
              <w:widowControl/>
              <w:numPr>
                <w:ilvl w:val="0"/>
                <w:numId w:val="3"/>
              </w:numPr>
              <w:autoSpaceDE/>
              <w:autoSpaceDN/>
              <w:adjustRightInd/>
              <w:spacing w:before="100" w:beforeAutospacing="1" w:line="276" w:lineRule="auto"/>
              <w:jc w:val="both"/>
              <w:rPr>
                <w:sz w:val="20"/>
                <w:szCs w:val="20"/>
                <w:lang w:val="sr-Latn-CS"/>
              </w:rPr>
            </w:pPr>
            <w:r w:rsidRPr="00C62983">
              <w:rPr>
                <w:sz w:val="20"/>
                <w:szCs w:val="20"/>
                <w:lang w:val="sr-Cyrl-CS"/>
              </w:rPr>
              <w:t>Вук Гарача, Невена Ћурчић, Светлана Вукосав (2014)</w:t>
            </w:r>
            <w:r w:rsidR="00C62983" w:rsidRPr="00C62983">
              <w:rPr>
                <w:sz w:val="20"/>
                <w:szCs w:val="20"/>
                <w:lang w:val="sr-Cyrl-CS"/>
              </w:rPr>
              <w:t>.</w:t>
            </w:r>
            <w:r w:rsidRPr="00C62983">
              <w:rPr>
                <w:sz w:val="20"/>
                <w:szCs w:val="20"/>
                <w:lang w:val="sr-Cyrl-CS"/>
              </w:rPr>
              <w:t xml:space="preserve"> Анализа показатеља туристичке привреде у гравитационој зони Новог Сада, Теме бр.2, година </w:t>
            </w:r>
            <w:r w:rsidRPr="00C62983">
              <w:rPr>
                <w:sz w:val="20"/>
                <w:szCs w:val="20"/>
                <w:lang w:val="sr-Latn-CS"/>
              </w:rPr>
              <w:t xml:space="preserve">XXXVIII, </w:t>
            </w:r>
            <w:r w:rsidRPr="00C62983">
              <w:rPr>
                <w:sz w:val="20"/>
                <w:szCs w:val="20"/>
                <w:lang w:val="sr-Cyrl-CS"/>
              </w:rPr>
              <w:t xml:space="preserve">Ниш, </w:t>
            </w:r>
            <w:r w:rsidRPr="00C62983">
              <w:rPr>
                <w:sz w:val="20"/>
                <w:szCs w:val="20"/>
                <w:lang/>
              </w:rPr>
              <w:t xml:space="preserve">април-јун 2014, </w:t>
            </w:r>
            <w:r w:rsidRPr="00C62983">
              <w:rPr>
                <w:sz w:val="20"/>
                <w:szCs w:val="20"/>
                <w:lang w:val="sr-Cyrl-CS"/>
              </w:rPr>
              <w:t>стр.543-565</w:t>
            </w:r>
            <w:r w:rsidRPr="00C62983">
              <w:rPr>
                <w:sz w:val="20"/>
                <w:szCs w:val="20"/>
              </w:rPr>
              <w:t xml:space="preserve"> UDK</w:t>
            </w:r>
            <w:r w:rsidRPr="00C62983">
              <w:rPr>
                <w:sz w:val="20"/>
                <w:szCs w:val="20"/>
                <w:lang/>
              </w:rPr>
              <w:t xml:space="preserve"> 338.482(497.11</w:t>
            </w:r>
            <w:r w:rsidRPr="00C62983">
              <w:rPr>
                <w:sz w:val="20"/>
                <w:szCs w:val="20"/>
                <w:lang/>
              </w:rPr>
              <w:t>Novi Sad</w:t>
            </w:r>
            <w:r w:rsidRPr="00C62983">
              <w:rPr>
                <w:sz w:val="20"/>
                <w:szCs w:val="20"/>
                <w:lang/>
              </w:rPr>
              <w:t>)</w:t>
            </w:r>
            <w:r w:rsidRPr="00C62983">
              <w:rPr>
                <w:sz w:val="20"/>
                <w:szCs w:val="20"/>
                <w:lang/>
              </w:rPr>
              <w:t xml:space="preserve">  005.52</w:t>
            </w:r>
            <w:r w:rsidRPr="00C62983">
              <w:rPr>
                <w:sz w:val="20"/>
                <w:szCs w:val="20"/>
              </w:rPr>
              <w:t>ISSN 0353-7919</w:t>
            </w:r>
          </w:p>
          <w:p w:rsidR="00692199" w:rsidRPr="00C62983" w:rsidRDefault="00692199" w:rsidP="00692199">
            <w:pPr>
              <w:numPr>
                <w:ilvl w:val="0"/>
                <w:numId w:val="3"/>
              </w:numPr>
              <w:jc w:val="both"/>
              <w:rPr>
                <w:sz w:val="20"/>
                <w:szCs w:val="20"/>
              </w:rPr>
            </w:pPr>
            <w:r w:rsidRPr="00C62983">
              <w:rPr>
                <w:sz w:val="20"/>
                <w:szCs w:val="20"/>
                <w:lang/>
              </w:rPr>
              <w:t>* (2006) Стратешки маркетинг план, Стратегија туризма Републике Србије. Министарство трговине, туризма и услуга, Београд</w:t>
            </w:r>
          </w:p>
          <w:p w:rsidR="0054142E" w:rsidRPr="00C62983" w:rsidRDefault="00692199" w:rsidP="00692199">
            <w:pPr>
              <w:numPr>
                <w:ilvl w:val="0"/>
                <w:numId w:val="3"/>
              </w:numPr>
              <w:jc w:val="both"/>
              <w:rPr>
                <w:sz w:val="20"/>
                <w:szCs w:val="20"/>
              </w:rPr>
            </w:pPr>
            <w:r w:rsidRPr="00C62983">
              <w:rPr>
                <w:sz w:val="20"/>
                <w:szCs w:val="20"/>
              </w:rPr>
              <w:t>* (2009) Kvarner - Strateški marketinški plan turizma 2009-2015, krovni plan. Turistička zajednica Kvarnera, Institut za turizam, Zagreb.</w:t>
            </w:r>
          </w:p>
        </w:tc>
      </w:tr>
      <w:tr w:rsidR="0054142E" w:rsidRPr="00C62983" w:rsidTr="004A0F49">
        <w:trPr>
          <w:jc w:val="center"/>
        </w:trPr>
        <w:tc>
          <w:tcPr>
            <w:tcW w:w="3606" w:type="dxa"/>
            <w:gridSpan w:val="2"/>
            <w:tcBorders>
              <w:top w:val="single" w:sz="6" w:space="0" w:color="auto"/>
              <w:left w:val="single" w:sz="6" w:space="0" w:color="auto"/>
              <w:bottom w:val="single" w:sz="6" w:space="0" w:color="auto"/>
              <w:right w:val="single" w:sz="6" w:space="0" w:color="auto"/>
            </w:tcBorders>
          </w:tcPr>
          <w:p w:rsidR="0054142E" w:rsidRPr="00C62983" w:rsidRDefault="0054142E" w:rsidP="004A0F49">
            <w:pPr>
              <w:rPr>
                <w:bCs/>
                <w:sz w:val="20"/>
                <w:szCs w:val="20"/>
              </w:rPr>
            </w:pPr>
            <w:r w:rsidRPr="00C62983">
              <w:rPr>
                <w:bCs/>
                <w:sz w:val="20"/>
                <w:szCs w:val="20"/>
              </w:rPr>
              <w:t xml:space="preserve">Број часова  </w:t>
            </w:r>
            <w:r w:rsidRPr="00C62983">
              <w:rPr>
                <w:bCs/>
                <w:sz w:val="20"/>
                <w:szCs w:val="20"/>
                <w:lang w:val="sr-Cyrl-CS"/>
              </w:rPr>
              <w:t xml:space="preserve">активне наставе </w:t>
            </w:r>
          </w:p>
        </w:tc>
        <w:tc>
          <w:tcPr>
            <w:tcW w:w="3081" w:type="dxa"/>
            <w:gridSpan w:val="2"/>
            <w:tcBorders>
              <w:top w:val="single" w:sz="6" w:space="0" w:color="auto"/>
              <w:left w:val="single" w:sz="6" w:space="0" w:color="auto"/>
              <w:bottom w:val="single" w:sz="6" w:space="0" w:color="auto"/>
              <w:right w:val="single" w:sz="6" w:space="0" w:color="auto"/>
            </w:tcBorders>
          </w:tcPr>
          <w:p w:rsidR="0054142E" w:rsidRPr="00C62983" w:rsidRDefault="0054142E" w:rsidP="00692199">
            <w:pPr>
              <w:rPr>
                <w:bCs/>
                <w:sz w:val="20"/>
                <w:szCs w:val="20"/>
              </w:rPr>
            </w:pPr>
            <w:r w:rsidRPr="00C62983">
              <w:rPr>
                <w:bCs/>
                <w:sz w:val="20"/>
                <w:szCs w:val="20"/>
              </w:rPr>
              <w:t xml:space="preserve">Предавања: </w:t>
            </w:r>
            <w:r w:rsidR="00692199" w:rsidRPr="00C62983">
              <w:rPr>
                <w:bCs/>
                <w:sz w:val="20"/>
                <w:szCs w:val="20"/>
              </w:rPr>
              <w:t>4(60</w:t>
            </w:r>
            <w:r w:rsidRPr="00C62983">
              <w:rPr>
                <w:bCs/>
                <w:sz w:val="20"/>
                <w:szCs w:val="20"/>
              </w:rPr>
              <w:t>)</w:t>
            </w:r>
          </w:p>
        </w:tc>
        <w:tc>
          <w:tcPr>
            <w:tcW w:w="3493" w:type="dxa"/>
            <w:gridSpan w:val="2"/>
            <w:tcBorders>
              <w:top w:val="single" w:sz="6" w:space="0" w:color="auto"/>
              <w:left w:val="single" w:sz="6" w:space="0" w:color="auto"/>
              <w:bottom w:val="single" w:sz="6" w:space="0" w:color="auto"/>
              <w:right w:val="single" w:sz="6" w:space="0" w:color="auto"/>
            </w:tcBorders>
          </w:tcPr>
          <w:p w:rsidR="0054142E" w:rsidRPr="00C62983" w:rsidRDefault="0054142E" w:rsidP="004A0F49">
            <w:pPr>
              <w:rPr>
                <w:bCs/>
                <w:sz w:val="20"/>
                <w:szCs w:val="20"/>
              </w:rPr>
            </w:pPr>
            <w:r w:rsidRPr="00C62983">
              <w:rPr>
                <w:bCs/>
                <w:sz w:val="20"/>
                <w:szCs w:val="20"/>
              </w:rPr>
              <w:t xml:space="preserve">Студијски истраживачки рад: </w:t>
            </w:r>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4A0F49">
            <w:pPr>
              <w:rPr>
                <w:b/>
                <w:bCs/>
                <w:sz w:val="20"/>
                <w:szCs w:val="20"/>
                <w:lang w:val="ru-RU"/>
              </w:rPr>
            </w:pPr>
            <w:r w:rsidRPr="00C62983">
              <w:rPr>
                <w:b/>
                <w:bCs/>
                <w:sz w:val="20"/>
                <w:szCs w:val="20"/>
                <w:lang w:val="ru-RU"/>
              </w:rPr>
              <w:t>Методе извођења наставе</w:t>
            </w:r>
          </w:p>
          <w:p w:rsidR="0054142E" w:rsidRPr="00C62983" w:rsidRDefault="0054142E" w:rsidP="004A0F49">
            <w:pPr>
              <w:rPr>
                <w:sz w:val="20"/>
                <w:szCs w:val="20"/>
                <w:lang w:val="sr-Cyrl-CS"/>
              </w:rPr>
            </w:pPr>
            <w:r w:rsidRPr="00C62983">
              <w:rPr>
                <w:sz w:val="20"/>
                <w:szCs w:val="20"/>
                <w:lang w:val="ru-RU"/>
              </w:rPr>
              <w:t xml:space="preserve">Метода усменог излагања, Илустративно-демонстративне методе, </w:t>
            </w:r>
            <w:r w:rsidRPr="00C62983">
              <w:rPr>
                <w:sz w:val="20"/>
                <w:szCs w:val="20"/>
                <w:lang w:val="sr-Cyrl-CS"/>
              </w:rPr>
              <w:t xml:space="preserve">Групни рад, </w:t>
            </w:r>
            <w:r w:rsidRPr="00C62983">
              <w:rPr>
                <w:sz w:val="20"/>
                <w:szCs w:val="20"/>
                <w:lang w:val="ru-RU"/>
              </w:rPr>
              <w:t>Анализе студија случаја</w:t>
            </w:r>
          </w:p>
        </w:tc>
      </w:tr>
      <w:tr w:rsidR="0054142E" w:rsidRPr="00C62983" w:rsidTr="004A0F49">
        <w:trPr>
          <w:jc w:val="center"/>
        </w:trPr>
        <w:tc>
          <w:tcPr>
            <w:tcW w:w="10180" w:type="dxa"/>
            <w:gridSpan w:val="6"/>
            <w:tcBorders>
              <w:top w:val="single" w:sz="6" w:space="0" w:color="auto"/>
              <w:left w:val="single" w:sz="6" w:space="0" w:color="auto"/>
              <w:bottom w:val="single" w:sz="6" w:space="0" w:color="auto"/>
              <w:right w:val="single" w:sz="6" w:space="0" w:color="auto"/>
            </w:tcBorders>
          </w:tcPr>
          <w:p w:rsidR="0054142E" w:rsidRPr="00C62983" w:rsidRDefault="0054142E" w:rsidP="004A0F49">
            <w:pPr>
              <w:jc w:val="center"/>
              <w:rPr>
                <w:b/>
                <w:bCs/>
                <w:sz w:val="20"/>
                <w:szCs w:val="20"/>
                <w:lang w:val="ru-RU"/>
              </w:rPr>
            </w:pPr>
            <w:r w:rsidRPr="00C62983">
              <w:rPr>
                <w:b/>
                <w:bCs/>
                <w:sz w:val="20"/>
                <w:szCs w:val="20"/>
                <w:lang w:val="ru-RU"/>
              </w:rPr>
              <w:t>Оцена  знања (максимални број поена 100)</w:t>
            </w:r>
          </w:p>
        </w:tc>
      </w:tr>
      <w:tr w:rsidR="0054142E" w:rsidRPr="00C62983" w:rsidTr="004A0F49">
        <w:trPr>
          <w:jc w:val="center"/>
        </w:trPr>
        <w:tc>
          <w:tcPr>
            <w:tcW w:w="3356" w:type="dxa"/>
            <w:tcBorders>
              <w:top w:val="single" w:sz="6" w:space="0" w:color="auto"/>
              <w:left w:val="single" w:sz="6" w:space="0" w:color="auto"/>
              <w:bottom w:val="single" w:sz="6" w:space="0" w:color="auto"/>
              <w:right w:val="single" w:sz="6" w:space="0" w:color="auto"/>
            </w:tcBorders>
            <w:vAlign w:val="center"/>
          </w:tcPr>
          <w:p w:rsidR="0054142E" w:rsidRPr="00C62983" w:rsidRDefault="0054142E" w:rsidP="004A0F49">
            <w:pPr>
              <w:jc w:val="center"/>
              <w:rPr>
                <w:b/>
                <w:bCs/>
                <w:sz w:val="20"/>
                <w:szCs w:val="20"/>
              </w:rPr>
            </w:pPr>
            <w:r w:rsidRPr="00C62983">
              <w:rPr>
                <w:b/>
                <w:bCs/>
                <w:sz w:val="20"/>
                <w:szCs w:val="20"/>
              </w:rPr>
              <w:t>Предиспитне обавезе</w:t>
            </w:r>
          </w:p>
        </w:tc>
        <w:tc>
          <w:tcPr>
            <w:tcW w:w="2071" w:type="dxa"/>
            <w:gridSpan w:val="2"/>
            <w:tcBorders>
              <w:top w:val="single" w:sz="6" w:space="0" w:color="auto"/>
              <w:left w:val="single" w:sz="6" w:space="0" w:color="auto"/>
              <w:bottom w:val="single" w:sz="6" w:space="0" w:color="auto"/>
              <w:right w:val="single" w:sz="6" w:space="0" w:color="auto"/>
            </w:tcBorders>
            <w:vAlign w:val="center"/>
          </w:tcPr>
          <w:p w:rsidR="0054142E" w:rsidRPr="00C62983" w:rsidRDefault="0054142E" w:rsidP="004A0F49">
            <w:pPr>
              <w:jc w:val="center"/>
              <w:rPr>
                <w:sz w:val="20"/>
                <w:szCs w:val="20"/>
              </w:rPr>
            </w:pPr>
            <w:r w:rsidRPr="00C62983">
              <w:rPr>
                <w:sz w:val="20"/>
                <w:szCs w:val="20"/>
              </w:rPr>
              <w:t>Поена</w:t>
            </w:r>
          </w:p>
        </w:tc>
        <w:tc>
          <w:tcPr>
            <w:tcW w:w="3406" w:type="dxa"/>
            <w:gridSpan w:val="2"/>
            <w:tcBorders>
              <w:top w:val="single" w:sz="6" w:space="0" w:color="auto"/>
              <w:left w:val="single" w:sz="6" w:space="0" w:color="auto"/>
              <w:bottom w:val="single" w:sz="6" w:space="0" w:color="auto"/>
              <w:right w:val="single" w:sz="6" w:space="0" w:color="auto"/>
            </w:tcBorders>
            <w:vAlign w:val="center"/>
          </w:tcPr>
          <w:p w:rsidR="0054142E" w:rsidRPr="00C62983" w:rsidRDefault="0054142E" w:rsidP="004A0F49">
            <w:pPr>
              <w:jc w:val="center"/>
              <w:rPr>
                <w:b/>
                <w:bCs/>
                <w:sz w:val="20"/>
                <w:szCs w:val="20"/>
              </w:rPr>
            </w:pPr>
            <w:r w:rsidRPr="00C62983">
              <w:rPr>
                <w:b/>
                <w:bCs/>
                <w:sz w:val="20"/>
                <w:szCs w:val="20"/>
              </w:rPr>
              <w:t>Завршни испит</w:t>
            </w:r>
          </w:p>
        </w:tc>
        <w:tc>
          <w:tcPr>
            <w:tcW w:w="1347" w:type="dxa"/>
            <w:tcBorders>
              <w:top w:val="single" w:sz="6" w:space="0" w:color="auto"/>
              <w:left w:val="single" w:sz="6" w:space="0" w:color="auto"/>
              <w:bottom w:val="single" w:sz="6" w:space="0" w:color="auto"/>
              <w:right w:val="single" w:sz="6" w:space="0" w:color="auto"/>
            </w:tcBorders>
            <w:vAlign w:val="center"/>
          </w:tcPr>
          <w:p w:rsidR="0054142E" w:rsidRPr="00C62983" w:rsidRDefault="0054142E" w:rsidP="004A0F49">
            <w:pPr>
              <w:jc w:val="center"/>
              <w:rPr>
                <w:b/>
                <w:bCs/>
                <w:sz w:val="20"/>
                <w:szCs w:val="20"/>
              </w:rPr>
            </w:pPr>
            <w:r w:rsidRPr="00C62983">
              <w:rPr>
                <w:sz w:val="20"/>
                <w:szCs w:val="20"/>
              </w:rPr>
              <w:t>поена</w:t>
            </w:r>
          </w:p>
        </w:tc>
      </w:tr>
      <w:tr w:rsidR="0054142E" w:rsidRPr="00C62983" w:rsidTr="004A0F49">
        <w:trPr>
          <w:jc w:val="center"/>
        </w:trPr>
        <w:tc>
          <w:tcPr>
            <w:tcW w:w="3356" w:type="dxa"/>
            <w:tcBorders>
              <w:top w:val="single" w:sz="6" w:space="0" w:color="auto"/>
              <w:left w:val="single" w:sz="6" w:space="0" w:color="auto"/>
              <w:bottom w:val="single" w:sz="6" w:space="0" w:color="auto"/>
              <w:right w:val="single" w:sz="6" w:space="0" w:color="auto"/>
            </w:tcBorders>
          </w:tcPr>
          <w:p w:rsidR="0054142E" w:rsidRPr="00C62983" w:rsidRDefault="0054142E" w:rsidP="004A0F49">
            <w:pPr>
              <w:rPr>
                <w:sz w:val="20"/>
                <w:szCs w:val="20"/>
              </w:rPr>
            </w:pPr>
            <w:r w:rsidRPr="00C62983">
              <w:rPr>
                <w:sz w:val="20"/>
                <w:szCs w:val="20"/>
              </w:rPr>
              <w:t>Семинарски рад</w:t>
            </w:r>
          </w:p>
        </w:tc>
        <w:tc>
          <w:tcPr>
            <w:tcW w:w="2071" w:type="dxa"/>
            <w:gridSpan w:val="2"/>
            <w:tcBorders>
              <w:top w:val="single" w:sz="6" w:space="0" w:color="auto"/>
              <w:left w:val="single" w:sz="6" w:space="0" w:color="auto"/>
              <w:bottom w:val="single" w:sz="6" w:space="0" w:color="auto"/>
              <w:right w:val="single" w:sz="6" w:space="0" w:color="auto"/>
            </w:tcBorders>
          </w:tcPr>
          <w:p w:rsidR="0054142E" w:rsidRPr="00C62983" w:rsidRDefault="0054142E" w:rsidP="004A0F49">
            <w:pPr>
              <w:jc w:val="center"/>
              <w:rPr>
                <w:sz w:val="20"/>
                <w:szCs w:val="20"/>
              </w:rPr>
            </w:pPr>
            <w:r w:rsidRPr="00C62983">
              <w:rPr>
                <w:sz w:val="20"/>
                <w:szCs w:val="20"/>
              </w:rPr>
              <w:t>50</w:t>
            </w:r>
          </w:p>
        </w:tc>
        <w:tc>
          <w:tcPr>
            <w:tcW w:w="3406" w:type="dxa"/>
            <w:gridSpan w:val="2"/>
            <w:tcBorders>
              <w:top w:val="single" w:sz="6" w:space="0" w:color="auto"/>
              <w:left w:val="single" w:sz="6" w:space="0" w:color="auto"/>
              <w:bottom w:val="single" w:sz="6" w:space="0" w:color="auto"/>
              <w:right w:val="single" w:sz="6" w:space="0" w:color="auto"/>
            </w:tcBorders>
          </w:tcPr>
          <w:p w:rsidR="0054142E" w:rsidRPr="00C62983" w:rsidRDefault="0054142E" w:rsidP="004A0F49">
            <w:pPr>
              <w:rPr>
                <w:i/>
                <w:iCs/>
                <w:sz w:val="20"/>
                <w:szCs w:val="20"/>
              </w:rPr>
            </w:pPr>
            <w:r w:rsidRPr="00C62983">
              <w:rPr>
                <w:sz w:val="20"/>
                <w:szCs w:val="20"/>
              </w:rPr>
              <w:t>Усмени испит</w:t>
            </w:r>
          </w:p>
        </w:tc>
        <w:tc>
          <w:tcPr>
            <w:tcW w:w="1347" w:type="dxa"/>
            <w:tcBorders>
              <w:top w:val="single" w:sz="6" w:space="0" w:color="auto"/>
              <w:left w:val="single" w:sz="6" w:space="0" w:color="auto"/>
              <w:bottom w:val="single" w:sz="6" w:space="0" w:color="auto"/>
              <w:right w:val="single" w:sz="6" w:space="0" w:color="auto"/>
            </w:tcBorders>
          </w:tcPr>
          <w:p w:rsidR="0054142E" w:rsidRPr="00C62983" w:rsidRDefault="0054142E" w:rsidP="004A0F49">
            <w:pPr>
              <w:jc w:val="center"/>
              <w:rPr>
                <w:sz w:val="20"/>
                <w:szCs w:val="20"/>
              </w:rPr>
            </w:pPr>
            <w:r w:rsidRPr="00C62983">
              <w:rPr>
                <w:sz w:val="20"/>
                <w:szCs w:val="20"/>
              </w:rPr>
              <w:t>50</w:t>
            </w:r>
          </w:p>
        </w:tc>
      </w:tr>
    </w:tbl>
    <w:p w:rsidR="0054142E" w:rsidRPr="00A438D7" w:rsidRDefault="0054142E" w:rsidP="00A438D7">
      <w:pPr>
        <w:widowControl/>
        <w:autoSpaceDE/>
        <w:autoSpaceDN/>
        <w:adjustRightInd/>
        <w:rPr>
          <w:lang w:val="en-GB"/>
        </w:rPr>
      </w:pPr>
    </w:p>
    <w:sectPr w:rsidR="0054142E" w:rsidRPr="00A438D7" w:rsidSect="002B4423">
      <w:pgSz w:w="11909" w:h="16834" w:code="9"/>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D25" w:rsidRDefault="00367D25" w:rsidP="00A03519">
      <w:r>
        <w:separator/>
      </w:r>
    </w:p>
  </w:endnote>
  <w:endnote w:type="continuationSeparator" w:id="1">
    <w:p w:rsidR="00367D25" w:rsidRDefault="00367D25" w:rsidP="00A035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D25" w:rsidRDefault="00367D25" w:rsidP="00A03519">
      <w:r>
        <w:separator/>
      </w:r>
    </w:p>
  </w:footnote>
  <w:footnote w:type="continuationSeparator" w:id="1">
    <w:p w:rsidR="00367D25" w:rsidRDefault="00367D25" w:rsidP="00A035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A4DAB"/>
    <w:multiLevelType w:val="hybridMultilevel"/>
    <w:tmpl w:val="AC0A78C6"/>
    <w:lvl w:ilvl="0" w:tplc="89F2A5F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48849C2"/>
    <w:multiLevelType w:val="hybridMultilevel"/>
    <w:tmpl w:val="C11A946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E7D5368"/>
    <w:multiLevelType w:val="hybridMultilevel"/>
    <w:tmpl w:val="E236D10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23E07E34"/>
    <w:multiLevelType w:val="hybridMultilevel"/>
    <w:tmpl w:val="A8B48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017AFE"/>
    <w:multiLevelType w:val="hybridMultilevel"/>
    <w:tmpl w:val="63D0BD2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362F5BC8"/>
    <w:multiLevelType w:val="hybridMultilevel"/>
    <w:tmpl w:val="D0F603F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39482F0F"/>
    <w:multiLevelType w:val="hybridMultilevel"/>
    <w:tmpl w:val="2CBCB77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3E254B34"/>
    <w:multiLevelType w:val="hybridMultilevel"/>
    <w:tmpl w:val="08726FE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40083AA9"/>
    <w:multiLevelType w:val="hybridMultilevel"/>
    <w:tmpl w:val="44168A44"/>
    <w:lvl w:ilvl="0" w:tplc="F8767536">
      <w:start w:val="1"/>
      <w:numFmt w:val="decimal"/>
      <w:lvlText w:val="%1."/>
      <w:lvlJc w:val="left"/>
      <w:pPr>
        <w:tabs>
          <w:tab w:val="num" w:pos="720"/>
        </w:tabs>
        <w:ind w:left="720" w:hanging="360"/>
      </w:pPr>
      <w:rPr>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43084053"/>
    <w:multiLevelType w:val="hybridMultilevel"/>
    <w:tmpl w:val="8C32C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603E21"/>
    <w:multiLevelType w:val="hybridMultilevel"/>
    <w:tmpl w:val="0A52282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556D0706"/>
    <w:multiLevelType w:val="hybridMultilevel"/>
    <w:tmpl w:val="C04E2B32"/>
    <w:lvl w:ilvl="0" w:tplc="BB2AD34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26E5A18"/>
    <w:multiLevelType w:val="hybridMultilevel"/>
    <w:tmpl w:val="132251A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75EA71B4"/>
    <w:multiLevelType w:val="hybridMultilevel"/>
    <w:tmpl w:val="436E392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1"/>
  </w:num>
  <w:num w:numId="2">
    <w:abstractNumId w:val="12"/>
  </w:num>
  <w:num w:numId="3">
    <w:abstractNumId w:val="2"/>
  </w:num>
  <w:num w:numId="4">
    <w:abstractNumId w:val="8"/>
  </w:num>
  <w:num w:numId="5">
    <w:abstractNumId w:val="4"/>
  </w:num>
  <w:num w:numId="6">
    <w:abstractNumId w:val="6"/>
  </w:num>
  <w:num w:numId="7">
    <w:abstractNumId w:val="1"/>
  </w:num>
  <w:num w:numId="8">
    <w:abstractNumId w:val="7"/>
  </w:num>
  <w:num w:numId="9">
    <w:abstractNumId w:val="0"/>
  </w:num>
  <w:num w:numId="10">
    <w:abstractNumId w:val="9"/>
  </w:num>
  <w:num w:numId="11">
    <w:abstractNumId w:val="3"/>
  </w:num>
  <w:num w:numId="12">
    <w:abstractNumId w:val="10"/>
  </w:num>
  <w:num w:numId="13">
    <w:abstractNumId w:val="1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54142E"/>
    <w:rsid w:val="000B54FE"/>
    <w:rsid w:val="00107145"/>
    <w:rsid w:val="00126FB6"/>
    <w:rsid w:val="00176422"/>
    <w:rsid w:val="001A2D4D"/>
    <w:rsid w:val="00305420"/>
    <w:rsid w:val="00367D25"/>
    <w:rsid w:val="003935BE"/>
    <w:rsid w:val="003D4B43"/>
    <w:rsid w:val="00430D17"/>
    <w:rsid w:val="0047069E"/>
    <w:rsid w:val="00512223"/>
    <w:rsid w:val="00530D89"/>
    <w:rsid w:val="0054142E"/>
    <w:rsid w:val="00672087"/>
    <w:rsid w:val="00692199"/>
    <w:rsid w:val="0069592F"/>
    <w:rsid w:val="006F0C59"/>
    <w:rsid w:val="007251D3"/>
    <w:rsid w:val="0073552B"/>
    <w:rsid w:val="007F39AD"/>
    <w:rsid w:val="00831A84"/>
    <w:rsid w:val="008B3277"/>
    <w:rsid w:val="0099021A"/>
    <w:rsid w:val="009E3C44"/>
    <w:rsid w:val="00A03519"/>
    <w:rsid w:val="00A438D7"/>
    <w:rsid w:val="00A6265E"/>
    <w:rsid w:val="00AD6F0F"/>
    <w:rsid w:val="00C01734"/>
    <w:rsid w:val="00C62983"/>
    <w:rsid w:val="00C87CCE"/>
    <w:rsid w:val="00D30E84"/>
    <w:rsid w:val="00E05969"/>
    <w:rsid w:val="00F01B66"/>
    <w:rsid w:val="00F22D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42E"/>
    <w:pPr>
      <w:widowControl w:val="0"/>
      <w:autoSpaceDE w:val="0"/>
      <w:autoSpaceDN w:val="0"/>
      <w:adjustRightInd w:val="0"/>
      <w:spacing w:after="0" w:line="240" w:lineRule="auto"/>
    </w:pPr>
    <w:rPr>
      <w:rFonts w:eastAsia="Times New Roman" w:cs="Times New Roman"/>
      <w:szCs w:val="24"/>
      <w:lang w:val="en-US"/>
    </w:rPr>
  </w:style>
  <w:style w:type="paragraph" w:styleId="Heading3">
    <w:name w:val="heading 3"/>
    <w:basedOn w:val="Normal"/>
    <w:link w:val="Heading3Char"/>
    <w:uiPriority w:val="9"/>
    <w:qFormat/>
    <w:rsid w:val="00E05969"/>
    <w:pPr>
      <w:widowControl/>
      <w:autoSpaceDE/>
      <w:autoSpaceDN/>
      <w:adjustRightInd/>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54142E"/>
    <w:rPr>
      <w:b/>
      <w:bCs/>
    </w:rPr>
  </w:style>
  <w:style w:type="character" w:customStyle="1" w:styleId="a">
    <w:name w:val="a"/>
    <w:basedOn w:val="DefaultParagraphFont"/>
    <w:rsid w:val="0054142E"/>
  </w:style>
  <w:style w:type="character" w:customStyle="1" w:styleId="breadcrumblastitem2">
    <w:name w:val="breadcrumblastitem2"/>
    <w:basedOn w:val="DefaultParagraphFont"/>
    <w:rsid w:val="0054142E"/>
    <w:rPr>
      <w:rFonts w:ascii="Verdana" w:hAnsi="Verdana" w:hint="default"/>
      <w:color w:val="000000"/>
      <w:sz w:val="16"/>
      <w:szCs w:val="16"/>
    </w:rPr>
  </w:style>
  <w:style w:type="paragraph" w:styleId="ListParagraph">
    <w:name w:val="List Paragraph"/>
    <w:basedOn w:val="Normal"/>
    <w:uiPriority w:val="34"/>
    <w:qFormat/>
    <w:rsid w:val="00C01734"/>
    <w:pPr>
      <w:ind w:left="720"/>
      <w:contextualSpacing/>
    </w:pPr>
  </w:style>
  <w:style w:type="character" w:customStyle="1" w:styleId="hps">
    <w:name w:val="hps"/>
    <w:basedOn w:val="DefaultParagraphFont"/>
    <w:rsid w:val="00E05969"/>
  </w:style>
  <w:style w:type="character" w:customStyle="1" w:styleId="Heading3Char">
    <w:name w:val="Heading 3 Char"/>
    <w:basedOn w:val="DefaultParagraphFont"/>
    <w:link w:val="Heading3"/>
    <w:uiPriority w:val="9"/>
    <w:rsid w:val="00E05969"/>
    <w:rPr>
      <w:rFonts w:eastAsia="Times New Roman" w:cs="Times New Roman"/>
      <w:b/>
      <w:bCs/>
      <w:sz w:val="27"/>
      <w:szCs w:val="27"/>
      <w:lang w:val="en-US"/>
    </w:rPr>
  </w:style>
  <w:style w:type="character" w:styleId="Hyperlink">
    <w:name w:val="Hyperlink"/>
    <w:uiPriority w:val="99"/>
    <w:semiHidden/>
    <w:rsid w:val="00E05969"/>
    <w:rPr>
      <w:color w:val="0000FF"/>
      <w:u w:val="single"/>
    </w:rPr>
  </w:style>
  <w:style w:type="character" w:customStyle="1" w:styleId="name">
    <w:name w:val="name"/>
    <w:basedOn w:val="DefaultParagraphFont"/>
    <w:rsid w:val="00E05969"/>
  </w:style>
  <w:style w:type="paragraph" w:styleId="Header">
    <w:name w:val="header"/>
    <w:basedOn w:val="Normal"/>
    <w:link w:val="HeaderChar"/>
    <w:uiPriority w:val="99"/>
    <w:unhideWhenUsed/>
    <w:rsid w:val="00A03519"/>
    <w:pPr>
      <w:tabs>
        <w:tab w:val="center" w:pos="4536"/>
        <w:tab w:val="right" w:pos="9072"/>
      </w:tabs>
    </w:pPr>
  </w:style>
  <w:style w:type="character" w:customStyle="1" w:styleId="HeaderChar">
    <w:name w:val="Header Char"/>
    <w:basedOn w:val="DefaultParagraphFont"/>
    <w:link w:val="Header"/>
    <w:uiPriority w:val="99"/>
    <w:rsid w:val="00A03519"/>
    <w:rPr>
      <w:rFonts w:eastAsia="Times New Roman" w:cs="Times New Roman"/>
      <w:szCs w:val="24"/>
      <w:lang w:val="en-US"/>
    </w:rPr>
  </w:style>
  <w:style w:type="paragraph" w:styleId="Footer">
    <w:name w:val="footer"/>
    <w:basedOn w:val="Normal"/>
    <w:link w:val="FooterChar"/>
    <w:uiPriority w:val="99"/>
    <w:unhideWhenUsed/>
    <w:rsid w:val="00A03519"/>
    <w:pPr>
      <w:tabs>
        <w:tab w:val="center" w:pos="4536"/>
        <w:tab w:val="right" w:pos="9072"/>
      </w:tabs>
    </w:pPr>
  </w:style>
  <w:style w:type="character" w:customStyle="1" w:styleId="FooterChar">
    <w:name w:val="Footer Char"/>
    <w:basedOn w:val="DefaultParagraphFont"/>
    <w:link w:val="Footer"/>
    <w:uiPriority w:val="99"/>
    <w:rsid w:val="00A03519"/>
    <w:rPr>
      <w:rFonts w:eastAsia="Times New Roman" w:cs="Times New Roman"/>
      <w:szCs w:val="24"/>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Standard%209/Tabela%209.6%20Kompetentnost%20nastavnika%20DNT/Nevena%20Curcic%20SRB.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1</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PC</cp:lastModifiedBy>
  <cp:revision>16</cp:revision>
  <dcterms:created xsi:type="dcterms:W3CDTF">2020-05-14T13:51:00Z</dcterms:created>
  <dcterms:modified xsi:type="dcterms:W3CDTF">2020-06-01T17:34:00Z</dcterms:modified>
</cp:coreProperties>
</file>