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5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21"/>
        <w:gridCol w:w="2832"/>
        <w:gridCol w:w="3900"/>
      </w:tblGrid>
      <w:tr w:rsidR="006379F1" w:rsidRPr="00636375" w:rsidTr="00726220">
        <w:tc>
          <w:tcPr>
            <w:tcW w:w="10207" w:type="dxa"/>
            <w:gridSpan w:val="3"/>
          </w:tcPr>
          <w:p w:rsidR="006379F1" w:rsidRPr="00636375" w:rsidRDefault="006379F1" w:rsidP="002551EE">
            <w:pPr>
              <w:rPr>
                <w:lang w:val="sr-Latn-CS"/>
              </w:rPr>
            </w:pPr>
            <w:r>
              <w:rPr>
                <w:b/>
                <w:bCs/>
                <w:lang w:val="sr-Cyrl-CS"/>
              </w:rPr>
              <w:t xml:space="preserve">Назив предмета: </w:t>
            </w:r>
            <w:r w:rsidR="007256B5" w:rsidRPr="007256B5">
              <w:rPr>
                <w:lang w:val="sr-Cyrl-CS"/>
              </w:rPr>
              <w:t>П</w:t>
            </w:r>
            <w:r w:rsidR="007256B5" w:rsidRPr="005C66B1">
              <w:rPr>
                <w:bCs/>
                <w:lang w:val="sr-Latn-CS"/>
              </w:rPr>
              <w:t>ланирање и управљање геотуризмом</w:t>
            </w:r>
          </w:p>
        </w:tc>
      </w:tr>
      <w:tr w:rsidR="006379F1" w:rsidTr="00726220">
        <w:tc>
          <w:tcPr>
            <w:tcW w:w="10207" w:type="dxa"/>
            <w:gridSpan w:val="3"/>
          </w:tcPr>
          <w:p w:rsidR="006379F1" w:rsidRPr="005C66B1" w:rsidRDefault="006379F1" w:rsidP="004E2F64">
            <w:pPr>
              <w:rPr>
                <w:b/>
                <w:bCs/>
                <w:lang/>
              </w:rPr>
            </w:pPr>
            <w:r>
              <w:rPr>
                <w:b/>
                <w:bCs/>
                <w:lang w:val="sr-Cyrl-CS"/>
              </w:rPr>
              <w:t>Наставник:</w:t>
            </w:r>
            <w:r w:rsidR="00D029FD">
              <w:rPr>
                <w:bCs/>
              </w:rPr>
              <w:fldChar w:fldCharType="begin"/>
            </w:r>
            <w:r w:rsidR="00D029FD">
              <w:rPr>
                <w:bCs/>
              </w:rPr>
              <w:instrText xml:space="preserve"> HYPERLINK "../../Standard%209/Tabela%209.6%20Kompetentnost%20nastavnika%20DNT/Djordjije%20Vasiljevic%20SRB.docx" </w:instrText>
            </w:r>
            <w:r w:rsidR="00D029FD">
              <w:rPr>
                <w:bCs/>
              </w:rPr>
            </w:r>
            <w:r w:rsidR="00D029FD">
              <w:rPr>
                <w:bCs/>
              </w:rPr>
              <w:fldChar w:fldCharType="separate"/>
            </w:r>
            <w:proofErr w:type="spellStart"/>
            <w:r w:rsidRPr="00D029FD">
              <w:rPr>
                <w:rStyle w:val="Hyperlink"/>
                <w:bCs/>
              </w:rPr>
              <w:t>др</w:t>
            </w:r>
            <w:proofErr w:type="spellEnd"/>
            <w:r w:rsidRPr="00D029FD">
              <w:rPr>
                <w:rStyle w:val="Hyperlink"/>
                <w:bCs/>
              </w:rPr>
              <w:t xml:space="preserve"> </w:t>
            </w:r>
            <w:r w:rsidR="005C66B1" w:rsidRPr="00D029FD">
              <w:rPr>
                <w:rStyle w:val="Hyperlink"/>
                <w:bCs/>
                <w:lang/>
              </w:rPr>
              <w:t>Ђорђије Васиљевић</w:t>
            </w:r>
            <w:r w:rsidR="00D029FD">
              <w:rPr>
                <w:bCs/>
              </w:rPr>
              <w:fldChar w:fldCharType="end"/>
            </w:r>
            <w:r w:rsidR="005C66B1">
              <w:rPr>
                <w:bCs/>
                <w:lang/>
              </w:rPr>
              <w:t xml:space="preserve">, </w:t>
            </w:r>
            <w:hyperlink r:id="rId4" w:history="1">
              <w:r w:rsidR="005C66B1" w:rsidRPr="00D029FD">
                <w:rPr>
                  <w:rStyle w:val="Hyperlink"/>
                  <w:bCs/>
                  <w:lang/>
                </w:rPr>
                <w:t>др Слободан Марковић</w:t>
              </w:r>
            </w:hyperlink>
            <w:r w:rsidR="005C66B1">
              <w:rPr>
                <w:bCs/>
                <w:lang/>
              </w:rPr>
              <w:t xml:space="preserve">, </w:t>
            </w:r>
            <w:hyperlink r:id="rId5" w:history="1">
              <w:r w:rsidR="005C66B1" w:rsidRPr="00D029FD">
                <w:rPr>
                  <w:rStyle w:val="Hyperlink"/>
                  <w:bCs/>
                  <w:lang/>
                </w:rPr>
                <w:t>др Владимир Стојановић</w:t>
              </w:r>
            </w:hyperlink>
          </w:p>
        </w:tc>
      </w:tr>
      <w:tr w:rsidR="006379F1" w:rsidRPr="00D55BAC" w:rsidTr="00726220">
        <w:tc>
          <w:tcPr>
            <w:tcW w:w="10207" w:type="dxa"/>
            <w:gridSpan w:val="3"/>
          </w:tcPr>
          <w:p w:rsidR="006379F1" w:rsidRPr="00D55BAC" w:rsidRDefault="006379F1" w:rsidP="004E2F64">
            <w:r>
              <w:rPr>
                <w:b/>
                <w:bCs/>
                <w:lang w:val="sr-Cyrl-CS"/>
              </w:rPr>
              <w:t>Статус предмета:</w:t>
            </w:r>
            <w:r>
              <w:rPr>
                <w:bCs/>
                <w:lang w:val="sr-Cyrl-CS"/>
              </w:rPr>
              <w:t xml:space="preserve"> изборни</w:t>
            </w:r>
          </w:p>
        </w:tc>
      </w:tr>
      <w:tr w:rsidR="006379F1" w:rsidRPr="003E2E59" w:rsidTr="00726220">
        <w:tc>
          <w:tcPr>
            <w:tcW w:w="10207" w:type="dxa"/>
            <w:gridSpan w:val="3"/>
          </w:tcPr>
          <w:p w:rsidR="006379F1" w:rsidRPr="003E2E59" w:rsidRDefault="006379F1" w:rsidP="004E2F64">
            <w:pPr>
              <w:rPr>
                <w:lang w:val="sr-Cyrl-CS"/>
              </w:rPr>
            </w:pPr>
            <w:r>
              <w:rPr>
                <w:b/>
                <w:bCs/>
                <w:lang w:val="sr-Cyrl-CS"/>
              </w:rPr>
              <w:t>Број ЕСПБ</w:t>
            </w:r>
            <w:r>
              <w:rPr>
                <w:b/>
                <w:bCs/>
              </w:rPr>
              <w:t>:</w:t>
            </w:r>
            <w:r w:rsidRPr="003E2E59">
              <w:rPr>
                <w:bCs/>
                <w:lang w:val="sr-Cyrl-CS"/>
              </w:rPr>
              <w:t>1</w:t>
            </w:r>
            <w:r w:rsidR="00567A71">
              <w:rPr>
                <w:bCs/>
                <w:lang w:val="sr-Cyrl-CS"/>
              </w:rPr>
              <w:t>5</w:t>
            </w:r>
            <w:bookmarkStart w:id="0" w:name="_GoBack"/>
            <w:bookmarkEnd w:id="0"/>
          </w:p>
        </w:tc>
      </w:tr>
      <w:tr w:rsidR="006379F1" w:rsidRPr="00D55BAC" w:rsidTr="00726220">
        <w:tc>
          <w:tcPr>
            <w:tcW w:w="10207" w:type="dxa"/>
            <w:gridSpan w:val="3"/>
          </w:tcPr>
          <w:p w:rsidR="006379F1" w:rsidRPr="00173B6C" w:rsidRDefault="006379F1" w:rsidP="006379F1">
            <w:r>
              <w:rPr>
                <w:b/>
                <w:bCs/>
                <w:lang w:val="sr-Cyrl-CS"/>
              </w:rPr>
              <w:t>Услов</w:t>
            </w:r>
            <w:r w:rsidRPr="008F773B">
              <w:rPr>
                <w:b/>
                <w:bCs/>
                <w:lang w:val="sr-Cyrl-CS"/>
              </w:rPr>
              <w:t>:</w:t>
            </w:r>
            <w:r w:rsidR="00173B6C">
              <w:rPr>
                <w:bCs/>
              </w:rPr>
              <w:t>-</w:t>
            </w:r>
          </w:p>
        </w:tc>
      </w:tr>
      <w:tr w:rsidR="006379F1" w:rsidRPr="00636375" w:rsidTr="00726220">
        <w:tc>
          <w:tcPr>
            <w:tcW w:w="10207" w:type="dxa"/>
            <w:gridSpan w:val="3"/>
          </w:tcPr>
          <w:p w:rsidR="006379F1" w:rsidRPr="007F53BD" w:rsidRDefault="006379F1" w:rsidP="004E2F64">
            <w:pPr>
              <w:jc w:val="both"/>
              <w:rPr>
                <w:b/>
                <w:bCs/>
                <w:lang w:val="sr-Cyrl-CS"/>
              </w:rPr>
            </w:pPr>
            <w:r w:rsidRPr="007F53BD">
              <w:rPr>
                <w:b/>
                <w:bCs/>
                <w:lang w:val="sr-Cyrl-CS"/>
              </w:rPr>
              <w:t>Циљ предмета</w:t>
            </w:r>
          </w:p>
          <w:p w:rsidR="006379F1" w:rsidRPr="009063C7" w:rsidRDefault="00005DC4" w:rsidP="00ED0ABB">
            <w:pPr>
              <w:jc w:val="both"/>
              <w:rPr>
                <w:b/>
                <w:bCs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Циљ је да се студенти упознају са значајем геодиверзитета и геонаслеђа, да им се укаже на њихове вредности (естетске, културне, економске, туристичке, итд.) али и рањивост и деградацију.</w:t>
            </w:r>
            <w:r w:rsidR="00ED0ABB">
              <w:rPr>
                <w:sz w:val="22"/>
                <w:szCs w:val="22"/>
                <w:lang w:val="sr-Cyrl-CS"/>
              </w:rPr>
              <w:t xml:space="preserve"> Један од алата за представљање ових параметара широј јавности јесте геотуризам као специфичан и одрживи облик туристичког кретања. Посебан осврт ће бити усмерен ка активностима планирања и управљања у геотуризму јер су то активности од којих зависи свеукупна одрживост дестинације (задовољство посетилаца, благостање локалне заједнице, квалитет геотуристичке понуде, очување природних вредности). </w:t>
            </w:r>
            <w:r w:rsidR="005C66B1" w:rsidRPr="005C66B1">
              <w:rPr>
                <w:sz w:val="22"/>
                <w:szCs w:val="22"/>
                <w:lang w:val="sr-Cyrl-CS"/>
              </w:rPr>
              <w:t>Истовремено, докторанти ће се упознати са најновијом међународном научном литературом која анализира ову проблематику, као и са адекватн</w:t>
            </w:r>
            <w:r w:rsidR="00ED0ABB">
              <w:rPr>
                <w:sz w:val="22"/>
                <w:szCs w:val="22"/>
                <w:lang w:val="sr-Cyrl-CS"/>
              </w:rPr>
              <w:t xml:space="preserve">им методама </w:t>
            </w:r>
            <w:r w:rsidR="005C66B1" w:rsidRPr="005C66B1">
              <w:rPr>
                <w:sz w:val="22"/>
                <w:szCs w:val="22"/>
                <w:lang w:val="sr-Cyrl-CS"/>
              </w:rPr>
              <w:t>кој</w:t>
            </w:r>
            <w:r w:rsidR="00ED0ABB">
              <w:rPr>
                <w:sz w:val="22"/>
                <w:szCs w:val="22"/>
                <w:lang w:val="sr-Cyrl-CS"/>
              </w:rPr>
              <w:t>е</w:t>
            </w:r>
            <w:r w:rsidR="005C66B1" w:rsidRPr="005C66B1">
              <w:rPr>
                <w:sz w:val="22"/>
                <w:szCs w:val="22"/>
                <w:lang w:val="sr-Cyrl-CS"/>
              </w:rPr>
              <w:t xml:space="preserve"> се корист</w:t>
            </w:r>
            <w:r w:rsidR="00ED0ABB">
              <w:rPr>
                <w:sz w:val="22"/>
                <w:szCs w:val="22"/>
                <w:lang w:val="sr-Cyrl-CS"/>
              </w:rPr>
              <w:t>е у планирању и управљању</w:t>
            </w:r>
            <w:r w:rsidR="005C66B1" w:rsidRPr="005C66B1">
              <w:rPr>
                <w:sz w:val="22"/>
                <w:szCs w:val="22"/>
                <w:lang w:val="sr-Cyrl-CS"/>
              </w:rPr>
              <w:t>.</w:t>
            </w:r>
          </w:p>
        </w:tc>
      </w:tr>
      <w:tr w:rsidR="006379F1" w:rsidRPr="008514EE" w:rsidTr="00726220">
        <w:tc>
          <w:tcPr>
            <w:tcW w:w="10207" w:type="dxa"/>
            <w:gridSpan w:val="3"/>
          </w:tcPr>
          <w:p w:rsidR="006379F1" w:rsidRDefault="006379F1" w:rsidP="004E2F64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Исход предмета </w:t>
            </w:r>
          </w:p>
          <w:p w:rsidR="00ED0ABB" w:rsidRPr="00913E29" w:rsidRDefault="00ED0ABB" w:rsidP="006379F1">
            <w:pPr>
              <w:jc w:val="both"/>
              <w:rPr>
                <w:lang w:val="sr-Cyrl-CS"/>
              </w:rPr>
            </w:pPr>
            <w:r w:rsidRPr="00913E29">
              <w:rPr>
                <w:sz w:val="22"/>
                <w:szCs w:val="22"/>
                <w:lang w:val="sr-Cyrl-CS"/>
              </w:rPr>
              <w:t xml:space="preserve">Оспособљавање доктораната за разумевање суштинског значаја природних процеса у туризму, затим за адекватно схватање проблематике геонаслеђа у функцији развоја геотуризма. Компетентност доктораната за дефинисање стратегије развоја туризма неке дестинације заснованих на геонаслеђу али и другим ресурсима. </w:t>
            </w:r>
            <w:r w:rsidR="006379F1" w:rsidRPr="00913E29">
              <w:rPr>
                <w:sz w:val="22"/>
                <w:szCs w:val="22"/>
                <w:lang w:val="sr-Cyrl-CS"/>
              </w:rPr>
              <w:t>Апликација стеченог знања</w:t>
            </w:r>
            <w:r w:rsidRPr="00913E29">
              <w:rPr>
                <w:sz w:val="22"/>
                <w:szCs w:val="22"/>
                <w:lang w:val="sr-Cyrl-CS"/>
              </w:rPr>
              <w:t xml:space="preserve">,самостално креирање радне хипотезе и реализацију истраживачког процеса </w:t>
            </w:r>
            <w:r w:rsidR="006379F1" w:rsidRPr="00913E29">
              <w:rPr>
                <w:sz w:val="22"/>
                <w:szCs w:val="22"/>
                <w:lang w:val="sr-Cyrl-CS"/>
              </w:rPr>
              <w:t xml:space="preserve">у научно-истраживачком раду у области </w:t>
            </w:r>
            <w:r w:rsidRPr="00913E29">
              <w:rPr>
                <w:sz w:val="22"/>
                <w:szCs w:val="22"/>
                <w:lang w:val="sr-Cyrl-CS"/>
              </w:rPr>
              <w:t xml:space="preserve">геотуризма, геонаслеђа али и осталих природних вредности. </w:t>
            </w:r>
          </w:p>
        </w:tc>
      </w:tr>
      <w:tr w:rsidR="006379F1" w:rsidRPr="00636375" w:rsidTr="00726220">
        <w:tc>
          <w:tcPr>
            <w:tcW w:w="10207" w:type="dxa"/>
            <w:gridSpan w:val="3"/>
          </w:tcPr>
          <w:p w:rsidR="006379F1" w:rsidRPr="00D55BAC" w:rsidRDefault="006379F1" w:rsidP="004E2F64">
            <w:pPr>
              <w:jc w:val="both"/>
              <w:rPr>
                <w:b/>
                <w:bCs/>
                <w:lang w:val="ru-RU"/>
              </w:rPr>
            </w:pPr>
            <w:r w:rsidRPr="00D55BAC">
              <w:rPr>
                <w:b/>
                <w:bCs/>
                <w:lang w:val="sr-Cyrl-CS"/>
              </w:rPr>
              <w:t>Садржај предмета</w:t>
            </w:r>
          </w:p>
          <w:p w:rsidR="006379F1" w:rsidRDefault="006379F1" w:rsidP="004E2F64">
            <w:pPr>
              <w:jc w:val="both"/>
              <w:rPr>
                <w:lang w:val="sr-Cyrl-CS"/>
              </w:rPr>
            </w:pPr>
            <w:r w:rsidRPr="00D55BAC">
              <w:rPr>
                <w:i/>
                <w:iCs/>
                <w:lang w:val="sr-Cyrl-CS"/>
              </w:rPr>
              <w:t>Теоријска настава</w:t>
            </w:r>
            <w:r w:rsidR="00173B6C">
              <w:rPr>
                <w:iCs/>
              </w:rPr>
              <w:t xml:space="preserve">: </w:t>
            </w:r>
          </w:p>
          <w:p w:rsidR="00913E29" w:rsidRPr="00913E29" w:rsidRDefault="00913E29" w:rsidP="004E2F64">
            <w:pPr>
              <w:jc w:val="both"/>
              <w:rPr>
                <w:lang/>
              </w:rPr>
            </w:pPr>
            <w:r w:rsidRPr="00913E29">
              <w:rPr>
                <w:sz w:val="22"/>
                <w:szCs w:val="22"/>
                <w:lang/>
              </w:rPr>
              <w:t>Дефинисање основних појмова (геодиверзитет, геонаслеђе, геоконзервација, геотуризам).</w:t>
            </w:r>
            <w:r>
              <w:rPr>
                <w:sz w:val="22"/>
                <w:szCs w:val="22"/>
                <w:lang/>
              </w:rPr>
              <w:t xml:space="preserve"> Вредности геодиверзитета као основа за развој геотуризма. Претње по геодиверзитет и методе геоконзервације.</w:t>
            </w:r>
            <w:r w:rsidRPr="00913E29">
              <w:rPr>
                <w:sz w:val="22"/>
                <w:szCs w:val="22"/>
                <w:lang/>
              </w:rPr>
              <w:t xml:space="preserve"> Геопаркови као дестинације геотуризма. Интерпретација у геотуризму. Профилисање и идентификација геотуристе. </w:t>
            </w:r>
            <w:r>
              <w:rPr>
                <w:sz w:val="22"/>
                <w:szCs w:val="22"/>
                <w:lang/>
              </w:rPr>
              <w:t xml:space="preserve">Креирање геотуристичке понуде. </w:t>
            </w:r>
            <w:r w:rsidRPr="00913E29">
              <w:rPr>
                <w:sz w:val="22"/>
                <w:szCs w:val="22"/>
                <w:lang/>
              </w:rPr>
              <w:t>Савремени трендови у геотуризму. Геотуризам у Србији.</w:t>
            </w:r>
          </w:p>
          <w:p w:rsidR="006379F1" w:rsidRPr="009063C7" w:rsidRDefault="00173B6C" w:rsidP="00173B6C">
            <w:pPr>
              <w:jc w:val="both"/>
              <w:rPr>
                <w:i/>
                <w:iCs/>
                <w:lang w:val="sr-Cyrl-CS"/>
              </w:rPr>
            </w:pPr>
            <w:r>
              <w:rPr>
                <w:i/>
                <w:iCs/>
                <w:lang w:val="sr-Cyrl-CS"/>
              </w:rPr>
              <w:t>Практична настава</w:t>
            </w:r>
            <w:r>
              <w:rPr>
                <w:iCs/>
              </w:rPr>
              <w:t xml:space="preserve">: </w:t>
            </w:r>
            <w:r w:rsidR="00913E29" w:rsidRPr="00913E29">
              <w:rPr>
                <w:sz w:val="22"/>
                <w:szCs w:val="22"/>
                <w:lang w:val="sr-Cyrl-CS"/>
              </w:rPr>
              <w:t xml:space="preserve">Заједнички рад (наставника и </w:t>
            </w:r>
            <w:r w:rsidR="00913E29">
              <w:rPr>
                <w:sz w:val="22"/>
                <w:szCs w:val="22"/>
                <w:lang w:val="sr-Cyrl-CS"/>
              </w:rPr>
              <w:t>студената</w:t>
            </w:r>
            <w:r w:rsidR="00913E29" w:rsidRPr="00913E29">
              <w:rPr>
                <w:sz w:val="22"/>
                <w:szCs w:val="22"/>
                <w:lang w:val="sr-Cyrl-CS"/>
              </w:rPr>
              <w:t xml:space="preserve">) на </w:t>
            </w:r>
            <w:r w:rsidR="00913E29">
              <w:rPr>
                <w:sz w:val="22"/>
                <w:szCs w:val="22"/>
                <w:lang w:val="sr-Cyrl-CS"/>
              </w:rPr>
              <w:t xml:space="preserve">истраживањима, прикупљању података, анализи и дискусији резултата. Подстицање и помоћ у писању и методолошкој поставци </w:t>
            </w:r>
            <w:r w:rsidR="00913E29" w:rsidRPr="00913E29">
              <w:rPr>
                <w:sz w:val="22"/>
                <w:szCs w:val="22"/>
                <w:lang w:val="sr-Cyrl-CS"/>
              </w:rPr>
              <w:t>научног рада и публиковању у једном од домаћих или међународних научних часописа</w:t>
            </w:r>
            <w:r w:rsidR="00913E29">
              <w:rPr>
                <w:sz w:val="22"/>
                <w:szCs w:val="22"/>
                <w:lang w:val="sr-Cyrl-CS"/>
              </w:rPr>
              <w:t>.</w:t>
            </w:r>
          </w:p>
        </w:tc>
      </w:tr>
      <w:tr w:rsidR="006379F1" w:rsidRPr="00FD4722" w:rsidTr="00726220">
        <w:tc>
          <w:tcPr>
            <w:tcW w:w="10207" w:type="dxa"/>
            <w:gridSpan w:val="3"/>
          </w:tcPr>
          <w:p w:rsidR="006379F1" w:rsidRDefault="006379F1" w:rsidP="004E2F64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Препоручена литература </w:t>
            </w:r>
          </w:p>
          <w:p w:rsidR="00726220" w:rsidRPr="00726220" w:rsidRDefault="00726220" w:rsidP="00913E29">
            <w:pPr>
              <w:tabs>
                <w:tab w:val="left" w:pos="2088"/>
                <w:tab w:val="left" w:pos="7668"/>
              </w:tabs>
              <w:rPr>
                <w:bCs/>
                <w:iCs/>
                <w:lang/>
              </w:rPr>
            </w:pPr>
            <w:r w:rsidRPr="00726220">
              <w:rPr>
                <w:bCs/>
                <w:iCs/>
                <w:sz w:val="22"/>
                <w:szCs w:val="22"/>
                <w:lang/>
              </w:rPr>
              <w:t>Anze C., Young Ng, Erkuang Z., Mingzhong T. (Eds) 2020. Dictionary of Geotourism. Springer Nature Singapore</w:t>
            </w:r>
          </w:p>
          <w:p w:rsidR="00726220" w:rsidRDefault="00726220" w:rsidP="00913E29">
            <w:pPr>
              <w:tabs>
                <w:tab w:val="left" w:pos="2088"/>
                <w:tab w:val="left" w:pos="7668"/>
              </w:tabs>
              <w:rPr>
                <w:bCs/>
                <w:iCs/>
              </w:rPr>
            </w:pPr>
            <w:proofErr w:type="spellStart"/>
            <w:r w:rsidRPr="00492923">
              <w:rPr>
                <w:bCs/>
                <w:iCs/>
                <w:sz w:val="22"/>
                <w:szCs w:val="22"/>
              </w:rPr>
              <w:t>Anze</w:t>
            </w:r>
            <w:proofErr w:type="spellEnd"/>
            <w:r w:rsidRPr="00492923">
              <w:rPr>
                <w:bCs/>
                <w:iCs/>
                <w:sz w:val="22"/>
                <w:szCs w:val="22"/>
              </w:rPr>
              <w:t xml:space="preserve"> C., </w:t>
            </w:r>
            <w:proofErr w:type="spellStart"/>
            <w:r w:rsidRPr="00492923">
              <w:rPr>
                <w:bCs/>
                <w:iCs/>
                <w:sz w:val="22"/>
                <w:szCs w:val="22"/>
              </w:rPr>
              <w:t>Yunting</w:t>
            </w:r>
            <w:proofErr w:type="spellEnd"/>
            <w:r w:rsidRPr="00492923">
              <w:rPr>
                <w:bCs/>
                <w:iCs/>
                <w:sz w:val="22"/>
                <w:szCs w:val="22"/>
              </w:rPr>
              <w:t xml:space="preserve">, L., Young C.Y. 2015. The Principles of </w:t>
            </w:r>
            <w:proofErr w:type="spellStart"/>
            <w:r w:rsidRPr="00492923">
              <w:rPr>
                <w:bCs/>
                <w:iCs/>
                <w:sz w:val="22"/>
                <w:szCs w:val="22"/>
              </w:rPr>
              <w:t>Geotourism</w:t>
            </w:r>
            <w:proofErr w:type="spellEnd"/>
            <w:r w:rsidRPr="00492923">
              <w:rPr>
                <w:bCs/>
                <w:iCs/>
                <w:sz w:val="22"/>
                <w:szCs w:val="22"/>
              </w:rPr>
              <w:t>. Springer Geography, Berlin</w:t>
            </w:r>
          </w:p>
          <w:p w:rsidR="00726220" w:rsidRPr="00DC5424" w:rsidRDefault="00726220" w:rsidP="00913E29">
            <w:pPr>
              <w:tabs>
                <w:tab w:val="left" w:pos="2088"/>
                <w:tab w:val="left" w:pos="7668"/>
              </w:tabs>
              <w:rPr>
                <w:bCs/>
                <w:iCs/>
              </w:rPr>
            </w:pPr>
            <w:r w:rsidRPr="00DC5424">
              <w:rPr>
                <w:bCs/>
                <w:iCs/>
                <w:sz w:val="22"/>
                <w:szCs w:val="22"/>
              </w:rPr>
              <w:t xml:space="preserve">Dowling, R. &amp; Newsome, D. 2005. </w:t>
            </w:r>
            <w:proofErr w:type="spellStart"/>
            <w:r w:rsidRPr="00DC5424">
              <w:rPr>
                <w:bCs/>
                <w:iCs/>
                <w:sz w:val="22"/>
                <w:szCs w:val="22"/>
              </w:rPr>
              <w:t>Geotourism</w:t>
            </w:r>
            <w:proofErr w:type="spellEnd"/>
            <w:r w:rsidRPr="00DC5424">
              <w:rPr>
                <w:bCs/>
                <w:iCs/>
                <w:sz w:val="22"/>
                <w:szCs w:val="22"/>
              </w:rPr>
              <w:t>. Elsevier. Great Britain.</w:t>
            </w:r>
          </w:p>
          <w:p w:rsidR="00726220" w:rsidRDefault="00726220" w:rsidP="00913E29">
            <w:pPr>
              <w:tabs>
                <w:tab w:val="left" w:pos="2088"/>
                <w:tab w:val="left" w:pos="7668"/>
              </w:tabs>
              <w:rPr>
                <w:bCs/>
                <w:iCs/>
              </w:rPr>
            </w:pPr>
            <w:r w:rsidRPr="00DC5424">
              <w:rPr>
                <w:bCs/>
                <w:iCs/>
                <w:sz w:val="22"/>
                <w:szCs w:val="22"/>
              </w:rPr>
              <w:t xml:space="preserve">Gray, M. 2013. </w:t>
            </w:r>
            <w:proofErr w:type="spellStart"/>
            <w:r w:rsidRPr="00DC5424">
              <w:rPr>
                <w:bCs/>
                <w:iCs/>
                <w:sz w:val="22"/>
                <w:szCs w:val="22"/>
              </w:rPr>
              <w:t>Geodiversity</w:t>
            </w:r>
            <w:proofErr w:type="spellEnd"/>
            <w:r w:rsidRPr="00DC5424">
              <w:rPr>
                <w:bCs/>
                <w:iCs/>
                <w:sz w:val="22"/>
                <w:szCs w:val="22"/>
              </w:rPr>
              <w:t>. Wiley Blackwell, London.</w:t>
            </w:r>
          </w:p>
          <w:p w:rsidR="00726220" w:rsidRDefault="00726220" w:rsidP="00913E29">
            <w:pPr>
              <w:tabs>
                <w:tab w:val="left" w:pos="2088"/>
                <w:tab w:val="left" w:pos="7668"/>
              </w:tabs>
              <w:rPr>
                <w:bCs/>
                <w:iCs/>
              </w:rPr>
            </w:pPr>
            <w:r w:rsidRPr="00492923">
              <w:rPr>
                <w:bCs/>
                <w:iCs/>
                <w:sz w:val="22"/>
                <w:szCs w:val="22"/>
              </w:rPr>
              <w:t>Hose T.A. (Ed.)</w:t>
            </w:r>
            <w:r>
              <w:rPr>
                <w:bCs/>
                <w:iCs/>
                <w:sz w:val="22"/>
                <w:szCs w:val="22"/>
              </w:rPr>
              <w:t xml:space="preserve"> 2016.</w:t>
            </w:r>
            <w:r w:rsidRPr="00492923">
              <w:rPr>
                <w:bCs/>
                <w:iCs/>
                <w:sz w:val="22"/>
                <w:szCs w:val="22"/>
              </w:rPr>
              <w:t xml:space="preserve">Geoheritage and </w:t>
            </w:r>
            <w:proofErr w:type="spellStart"/>
            <w:r w:rsidRPr="00492923">
              <w:rPr>
                <w:bCs/>
                <w:iCs/>
                <w:sz w:val="22"/>
                <w:szCs w:val="22"/>
              </w:rPr>
              <w:t>Geotourism</w:t>
            </w:r>
            <w:proofErr w:type="spellEnd"/>
            <w:r w:rsidRPr="00492923">
              <w:rPr>
                <w:bCs/>
                <w:iCs/>
                <w:sz w:val="22"/>
                <w:szCs w:val="22"/>
              </w:rPr>
              <w:t xml:space="preserve">: A European Perspective. New York: </w:t>
            </w:r>
            <w:proofErr w:type="spellStart"/>
            <w:r w:rsidRPr="00492923">
              <w:rPr>
                <w:bCs/>
                <w:iCs/>
                <w:sz w:val="22"/>
                <w:szCs w:val="22"/>
              </w:rPr>
              <w:t>Boydell</w:t>
            </w:r>
            <w:proofErr w:type="spellEnd"/>
            <w:r w:rsidRPr="00492923">
              <w:rPr>
                <w:bCs/>
                <w:iCs/>
                <w:sz w:val="22"/>
                <w:szCs w:val="22"/>
              </w:rPr>
              <w:t xml:space="preserve"> &amp; Brewer.</w:t>
            </w:r>
          </w:p>
          <w:p w:rsidR="006379F1" w:rsidRPr="00726220" w:rsidRDefault="006379F1" w:rsidP="004E2F64">
            <w:pPr>
              <w:tabs>
                <w:tab w:val="left" w:pos="2088"/>
              </w:tabs>
              <w:rPr>
                <w:lang w:val="sr-Cyrl-CS"/>
              </w:rPr>
            </w:pPr>
            <w:r w:rsidRPr="00DC5424">
              <w:rPr>
                <w:bCs/>
                <w:iCs/>
                <w:sz w:val="22"/>
                <w:szCs w:val="22"/>
                <w:lang w:val="sr-Cyrl-CS"/>
              </w:rPr>
              <w:t>Препоручене докторске дисертације</w:t>
            </w:r>
            <w:r w:rsidR="00726220">
              <w:rPr>
                <w:bCs/>
                <w:iCs/>
                <w:sz w:val="22"/>
                <w:szCs w:val="22"/>
                <w:lang w:val="sr-Cyrl-CS"/>
              </w:rPr>
              <w:t xml:space="preserve">, </w:t>
            </w:r>
            <w:r w:rsidR="00DC5424" w:rsidRPr="00DC5424">
              <w:rPr>
                <w:bCs/>
                <w:iCs/>
                <w:sz w:val="22"/>
                <w:szCs w:val="22"/>
                <w:lang w:val="sr-Cyrl-CS"/>
              </w:rPr>
              <w:t>научни радови</w:t>
            </w:r>
            <w:r w:rsidR="00726220">
              <w:rPr>
                <w:bCs/>
                <w:iCs/>
                <w:sz w:val="22"/>
                <w:szCs w:val="22"/>
                <w:lang w:val="sr-Cyrl-CS"/>
              </w:rPr>
              <w:t xml:space="preserve">и </w:t>
            </w:r>
            <w:r w:rsidRPr="00DC5424">
              <w:rPr>
                <w:bCs/>
                <w:iCs/>
                <w:sz w:val="22"/>
                <w:szCs w:val="22"/>
                <w:lang w:val="sr-Cyrl-CS"/>
              </w:rPr>
              <w:t xml:space="preserve">интернет странице са актуелном проблематиком у </w:t>
            </w:r>
            <w:r w:rsidR="00DC5424" w:rsidRPr="00DC5424">
              <w:rPr>
                <w:bCs/>
                <w:iCs/>
                <w:sz w:val="22"/>
                <w:szCs w:val="22"/>
                <w:lang/>
              </w:rPr>
              <w:t>геотуризму и сродним темама</w:t>
            </w:r>
            <w:r w:rsidRPr="00DC5424">
              <w:rPr>
                <w:bCs/>
                <w:iCs/>
                <w:sz w:val="22"/>
                <w:szCs w:val="22"/>
                <w:lang w:val="sr-Cyrl-CS"/>
              </w:rPr>
              <w:t>.</w:t>
            </w:r>
          </w:p>
        </w:tc>
      </w:tr>
      <w:tr w:rsidR="006379F1" w:rsidRPr="00FD4722" w:rsidTr="00726220">
        <w:tc>
          <w:tcPr>
            <w:tcW w:w="3634" w:type="dxa"/>
          </w:tcPr>
          <w:p w:rsidR="006379F1" w:rsidRDefault="006379F1" w:rsidP="004E2F64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Број часова </w:t>
            </w:r>
            <w:r>
              <w:rPr>
                <w:b/>
                <w:lang w:val="sr-Cyrl-CS"/>
              </w:rPr>
              <w:t>активне наставе</w:t>
            </w:r>
          </w:p>
        </w:tc>
        <w:tc>
          <w:tcPr>
            <w:tcW w:w="2765" w:type="dxa"/>
          </w:tcPr>
          <w:p w:rsidR="006379F1" w:rsidRPr="00FD4722" w:rsidRDefault="006379F1" w:rsidP="009C6E7A">
            <w:pPr>
              <w:rPr>
                <w:bCs/>
                <w:lang w:val="sr-Cyrl-CS"/>
              </w:rPr>
            </w:pPr>
            <w:r>
              <w:rPr>
                <w:b/>
                <w:lang w:val="sr-Cyrl-CS"/>
              </w:rPr>
              <w:t>Теоријска настава:</w:t>
            </w:r>
            <w:r w:rsidR="009C6E7A">
              <w:rPr>
                <w:lang w:val="sr-Cyrl-CS"/>
              </w:rPr>
              <w:t>5</w:t>
            </w:r>
          </w:p>
        </w:tc>
        <w:tc>
          <w:tcPr>
            <w:tcW w:w="3808" w:type="dxa"/>
          </w:tcPr>
          <w:p w:rsidR="006379F1" w:rsidRPr="00FD4722" w:rsidRDefault="006379F1" w:rsidP="009C6E7A">
            <w:pPr>
              <w:rPr>
                <w:bCs/>
                <w:lang w:val="sr-Cyrl-CS"/>
              </w:rPr>
            </w:pPr>
            <w:r>
              <w:rPr>
                <w:b/>
                <w:lang w:val="ru-RU"/>
              </w:rPr>
              <w:t>Практична настава:</w:t>
            </w:r>
            <w:r w:rsidR="009C6E7A">
              <w:rPr>
                <w:lang w:val="ru-RU"/>
              </w:rPr>
              <w:t>5</w:t>
            </w:r>
            <w:r>
              <w:rPr>
                <w:lang w:val="ru-RU"/>
              </w:rPr>
              <w:t>*</w:t>
            </w:r>
          </w:p>
        </w:tc>
      </w:tr>
      <w:tr w:rsidR="006379F1" w:rsidTr="00726220">
        <w:tc>
          <w:tcPr>
            <w:tcW w:w="10207" w:type="dxa"/>
            <w:gridSpan w:val="3"/>
          </w:tcPr>
          <w:p w:rsidR="006379F1" w:rsidRDefault="006379F1" w:rsidP="004E2F64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</w:p>
          <w:p w:rsidR="006379F1" w:rsidRPr="00173B6C" w:rsidRDefault="006379F1" w:rsidP="004E2F64">
            <w:pPr>
              <w:rPr>
                <w:lang w:val="sr-Cyrl-CS"/>
              </w:rPr>
            </w:pPr>
            <w:r w:rsidRPr="00173B6C">
              <w:rPr>
                <w:sz w:val="22"/>
                <w:szCs w:val="22"/>
                <w:lang w:val="sr-Cyrl-CS"/>
              </w:rPr>
              <w:t>Предавања, индивидуалне консултације, семинарски радови.</w:t>
            </w:r>
          </w:p>
        </w:tc>
      </w:tr>
      <w:tr w:rsidR="006379F1" w:rsidRPr="00FD4722" w:rsidTr="00726220">
        <w:tc>
          <w:tcPr>
            <w:tcW w:w="10207" w:type="dxa"/>
            <w:gridSpan w:val="3"/>
          </w:tcPr>
          <w:p w:rsidR="006379F1" w:rsidRDefault="006379F1" w:rsidP="00DB6AC4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Оцена знања (максимални број поена 100)</w:t>
            </w:r>
          </w:p>
          <w:p w:rsidR="006379F1" w:rsidRDefault="00DB6AC4" w:rsidP="004E2F64">
            <w:pPr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Семинарски рад       50 поена</w:t>
            </w:r>
          </w:p>
          <w:p w:rsidR="00DB6AC4" w:rsidRPr="00173B6C" w:rsidRDefault="00DB6AC4" w:rsidP="004E2F64">
            <w:pPr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Усмени испит          50 поена</w:t>
            </w:r>
          </w:p>
        </w:tc>
      </w:tr>
      <w:tr w:rsidR="006379F1" w:rsidTr="00726220">
        <w:tc>
          <w:tcPr>
            <w:tcW w:w="10207" w:type="dxa"/>
            <w:gridSpan w:val="3"/>
          </w:tcPr>
          <w:p w:rsidR="006379F1" w:rsidRDefault="006379F1" w:rsidP="004E2F64">
            <w:pPr>
              <w:rPr>
                <w:b/>
                <w:bCs/>
                <w:lang w:val="sr-Cyrl-CS"/>
              </w:rPr>
            </w:pPr>
            <w:r>
              <w:rPr>
                <w:sz w:val="18"/>
                <w:szCs w:val="18"/>
                <w:lang w:val="ru-RU"/>
              </w:rPr>
              <w:t>*</w:t>
            </w:r>
            <w:r>
              <w:rPr>
                <w:sz w:val="18"/>
                <w:szCs w:val="18"/>
                <w:lang w:val="sr-Cyrl-CS"/>
              </w:rPr>
              <w:t>Обавезна израда семинарског рада</w:t>
            </w:r>
          </w:p>
        </w:tc>
      </w:tr>
    </w:tbl>
    <w:p w:rsidR="001C4ABE" w:rsidRDefault="001C4ABE"/>
    <w:sectPr w:rsidR="001C4ABE" w:rsidSect="001C4A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6379F1"/>
    <w:rsid w:val="00005DC4"/>
    <w:rsid w:val="00136306"/>
    <w:rsid w:val="00173B6C"/>
    <w:rsid w:val="001C4ABE"/>
    <w:rsid w:val="002551EE"/>
    <w:rsid w:val="0026138A"/>
    <w:rsid w:val="00475577"/>
    <w:rsid w:val="00492923"/>
    <w:rsid w:val="004A6D87"/>
    <w:rsid w:val="00567A71"/>
    <w:rsid w:val="005C66B1"/>
    <w:rsid w:val="006379F1"/>
    <w:rsid w:val="007256B5"/>
    <w:rsid w:val="00726220"/>
    <w:rsid w:val="009063C7"/>
    <w:rsid w:val="00913E29"/>
    <w:rsid w:val="009C6E7A"/>
    <w:rsid w:val="00AC7653"/>
    <w:rsid w:val="00B31BF0"/>
    <w:rsid w:val="00C26581"/>
    <w:rsid w:val="00C33025"/>
    <w:rsid w:val="00D029FD"/>
    <w:rsid w:val="00DB6AC4"/>
    <w:rsid w:val="00DC5424"/>
    <w:rsid w:val="00E426DF"/>
    <w:rsid w:val="00ED0ABB"/>
    <w:rsid w:val="00FB07CD"/>
    <w:rsid w:val="00FD27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29F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9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12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45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93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19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97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9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75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2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9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73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801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08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6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08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59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31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16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17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47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24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30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../Standard%209/Tabela%209.6%20Kompetentnost%20nastavnika%20DNT/Vladimir%20Stojanovic%20SRB.docx" TargetMode="External"/><Relationship Id="rId4" Type="http://schemas.openxmlformats.org/officeDocument/2006/relationships/hyperlink" Target="../../Standard%209/Tabela%209.6%20Kompetentnost%20nastavnika%20DNT/Slobodan%20Markovic%20SRB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PC</cp:lastModifiedBy>
  <cp:revision>6</cp:revision>
  <dcterms:created xsi:type="dcterms:W3CDTF">2020-05-11T21:06:00Z</dcterms:created>
  <dcterms:modified xsi:type="dcterms:W3CDTF">2020-06-01T17:31:00Z</dcterms:modified>
</cp:coreProperties>
</file>