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1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477"/>
        <w:gridCol w:w="1397"/>
        <w:gridCol w:w="785"/>
        <w:gridCol w:w="1328"/>
        <w:gridCol w:w="135"/>
        <w:gridCol w:w="1919"/>
        <w:gridCol w:w="1758"/>
        <w:gridCol w:w="77"/>
        <w:gridCol w:w="1386"/>
        <w:gridCol w:w="1001"/>
      </w:tblGrid>
      <w:tr w:rsidR="00DC5203" w:rsidRPr="00D7756C" w14:paraId="2AA990A9" w14:textId="77777777" w:rsidTr="00575E8F">
        <w:trPr>
          <w:trHeight w:val="320"/>
          <w:jc w:val="center"/>
        </w:trPr>
        <w:tc>
          <w:tcPr>
            <w:tcW w:w="2066" w:type="pct"/>
            <w:gridSpan w:val="5"/>
            <w:vAlign w:val="center"/>
          </w:tcPr>
          <w:p w14:paraId="5D07B718" w14:textId="77777777" w:rsidR="00DC5203" w:rsidRPr="00D7756C" w:rsidRDefault="00DC5203" w:rsidP="0007619C">
            <w:pPr>
              <w:rPr>
                <w:sz w:val="18"/>
                <w:szCs w:val="18"/>
                <w:lang w:val="sr-Cyrl-CS"/>
              </w:rPr>
            </w:pPr>
            <w:r w:rsidRPr="00D7756C">
              <w:rPr>
                <w:b/>
                <w:sz w:val="18"/>
                <w:szCs w:val="18"/>
                <w:lang w:val="sr-Cyrl-CS"/>
              </w:rPr>
              <w:t>Име и презиме</w:t>
            </w:r>
          </w:p>
        </w:tc>
        <w:tc>
          <w:tcPr>
            <w:tcW w:w="2934" w:type="pct"/>
            <w:gridSpan w:val="6"/>
            <w:vAlign w:val="center"/>
          </w:tcPr>
          <w:p w14:paraId="0C0804B7" w14:textId="6105EF21" w:rsidR="00DC5203" w:rsidRPr="00D7756C" w:rsidRDefault="00B30AFC" w:rsidP="0007619C">
            <w:pPr>
              <w:rPr>
                <w:sz w:val="18"/>
                <w:szCs w:val="18"/>
                <w:lang w:val="sr"/>
              </w:rPr>
            </w:pPr>
            <w:r w:rsidRPr="00D7756C">
              <w:rPr>
                <w:sz w:val="18"/>
                <w:szCs w:val="18"/>
                <w:lang w:val="sr"/>
              </w:rPr>
              <w:t>Игор Љ. Стаменковић</w:t>
            </w:r>
          </w:p>
        </w:tc>
      </w:tr>
      <w:tr w:rsidR="00DC5203" w:rsidRPr="00D7756C" w14:paraId="04E5BE78" w14:textId="77777777" w:rsidTr="00575E8F">
        <w:trPr>
          <w:trHeight w:val="320"/>
          <w:jc w:val="center"/>
        </w:trPr>
        <w:tc>
          <w:tcPr>
            <w:tcW w:w="2066" w:type="pct"/>
            <w:gridSpan w:val="5"/>
            <w:vAlign w:val="center"/>
          </w:tcPr>
          <w:p w14:paraId="461F755E" w14:textId="77777777" w:rsidR="00DC5203" w:rsidRPr="00D7756C" w:rsidRDefault="00DC5203" w:rsidP="0007619C">
            <w:pPr>
              <w:rPr>
                <w:sz w:val="18"/>
                <w:szCs w:val="18"/>
                <w:lang w:val="sr-Cyrl-CS"/>
              </w:rPr>
            </w:pPr>
            <w:r w:rsidRPr="00D7756C">
              <w:rPr>
                <w:b/>
                <w:sz w:val="18"/>
                <w:szCs w:val="18"/>
                <w:lang w:val="sr-Cyrl-CS"/>
              </w:rPr>
              <w:t>Звање</w:t>
            </w:r>
          </w:p>
        </w:tc>
        <w:tc>
          <w:tcPr>
            <w:tcW w:w="2934" w:type="pct"/>
            <w:gridSpan w:val="6"/>
            <w:vAlign w:val="center"/>
          </w:tcPr>
          <w:p w14:paraId="3FE6660C" w14:textId="5A3DA467" w:rsidR="00DC5203" w:rsidRPr="00D7756C" w:rsidRDefault="00B30AFC" w:rsidP="0007619C">
            <w:pPr>
              <w:rPr>
                <w:sz w:val="18"/>
                <w:szCs w:val="18"/>
                <w:lang w:val="sr-Cyrl-CS"/>
              </w:rPr>
            </w:pPr>
            <w:r w:rsidRPr="00D7756C">
              <w:rPr>
                <w:sz w:val="18"/>
                <w:szCs w:val="18"/>
                <w:lang w:val="sr"/>
              </w:rPr>
              <w:t>Д</w:t>
            </w:r>
            <w:r w:rsidR="00A26074" w:rsidRPr="00D7756C">
              <w:rPr>
                <w:sz w:val="18"/>
                <w:szCs w:val="18"/>
                <w:lang w:val="sr-Cyrl-CS"/>
              </w:rPr>
              <w:t>оцент</w:t>
            </w:r>
          </w:p>
        </w:tc>
      </w:tr>
      <w:tr w:rsidR="00DC5203" w:rsidRPr="00D7756C" w14:paraId="11518487" w14:textId="77777777" w:rsidTr="00575E8F">
        <w:trPr>
          <w:trHeight w:val="320"/>
          <w:jc w:val="center"/>
        </w:trPr>
        <w:tc>
          <w:tcPr>
            <w:tcW w:w="2066" w:type="pct"/>
            <w:gridSpan w:val="5"/>
            <w:vAlign w:val="center"/>
          </w:tcPr>
          <w:p w14:paraId="7CC8A87A" w14:textId="77777777" w:rsidR="00DC5203" w:rsidRPr="00D7756C" w:rsidRDefault="00DC5203" w:rsidP="0007619C">
            <w:pPr>
              <w:rPr>
                <w:sz w:val="18"/>
                <w:szCs w:val="18"/>
                <w:lang w:val="sr-Cyrl-CS"/>
              </w:rPr>
            </w:pPr>
            <w:r w:rsidRPr="00D7756C">
              <w:rPr>
                <w:b/>
                <w:sz w:val="18"/>
                <w:szCs w:val="18"/>
                <w:lang w:val="sr-Cyrl-CS"/>
              </w:rPr>
              <w:t>Ужа научна област</w:t>
            </w:r>
          </w:p>
        </w:tc>
        <w:tc>
          <w:tcPr>
            <w:tcW w:w="2934" w:type="pct"/>
            <w:gridSpan w:val="6"/>
            <w:vAlign w:val="center"/>
          </w:tcPr>
          <w:p w14:paraId="38F45AF0" w14:textId="77777777" w:rsidR="00DC5203" w:rsidRPr="00D7756C" w:rsidRDefault="00D677BD" w:rsidP="0007619C">
            <w:pPr>
              <w:rPr>
                <w:sz w:val="18"/>
                <w:szCs w:val="18"/>
                <w:lang w:val="en-US"/>
              </w:rPr>
            </w:pPr>
            <w:r w:rsidRPr="00D7756C">
              <w:rPr>
                <w:sz w:val="18"/>
                <w:szCs w:val="18"/>
                <w:lang w:val="sr-Cyrl-CS"/>
              </w:rPr>
              <w:t xml:space="preserve">Туризам </w:t>
            </w:r>
          </w:p>
        </w:tc>
      </w:tr>
      <w:tr w:rsidR="00DC5203" w:rsidRPr="00D7756C" w14:paraId="5ECCD738" w14:textId="77777777" w:rsidTr="00575E8F">
        <w:trPr>
          <w:trHeight w:val="320"/>
          <w:jc w:val="center"/>
        </w:trPr>
        <w:tc>
          <w:tcPr>
            <w:tcW w:w="1445" w:type="pct"/>
            <w:gridSpan w:val="4"/>
            <w:vAlign w:val="center"/>
          </w:tcPr>
          <w:p w14:paraId="7F55F2A0" w14:textId="77777777" w:rsidR="00DC5203" w:rsidRPr="00D7756C" w:rsidRDefault="00DC5203" w:rsidP="0007619C">
            <w:pPr>
              <w:rPr>
                <w:sz w:val="18"/>
                <w:szCs w:val="18"/>
                <w:lang w:val="sr-Cyrl-CS"/>
              </w:rPr>
            </w:pPr>
            <w:r w:rsidRPr="00D7756C">
              <w:rPr>
                <w:b/>
                <w:sz w:val="18"/>
                <w:szCs w:val="18"/>
                <w:lang w:val="sr-Cyrl-CS"/>
              </w:rPr>
              <w:t>Академска каријера</w:t>
            </w:r>
          </w:p>
        </w:tc>
        <w:tc>
          <w:tcPr>
            <w:tcW w:w="621" w:type="pct"/>
            <w:vAlign w:val="center"/>
          </w:tcPr>
          <w:p w14:paraId="1F49DE2F" w14:textId="77777777" w:rsidR="00DC5203" w:rsidRPr="00D7756C" w:rsidRDefault="00DC5203" w:rsidP="0007619C">
            <w:pPr>
              <w:rPr>
                <w:sz w:val="18"/>
                <w:szCs w:val="18"/>
                <w:lang w:val="sr-Cyrl-CS"/>
              </w:rPr>
            </w:pPr>
            <w:r w:rsidRPr="00D7756C">
              <w:rPr>
                <w:sz w:val="18"/>
                <w:szCs w:val="18"/>
                <w:lang w:val="sr-Cyrl-CS"/>
              </w:rPr>
              <w:t xml:space="preserve">Година </w:t>
            </w:r>
          </w:p>
        </w:tc>
        <w:tc>
          <w:tcPr>
            <w:tcW w:w="960" w:type="pct"/>
            <w:gridSpan w:val="2"/>
            <w:vAlign w:val="center"/>
          </w:tcPr>
          <w:p w14:paraId="6FDD86DD" w14:textId="77777777" w:rsidR="00DC5203" w:rsidRPr="00D7756C" w:rsidRDefault="00DC5203" w:rsidP="0007619C">
            <w:pPr>
              <w:rPr>
                <w:sz w:val="18"/>
                <w:szCs w:val="18"/>
                <w:lang w:val="sr-Cyrl-CS"/>
              </w:rPr>
            </w:pPr>
            <w:r w:rsidRPr="00D7756C">
              <w:rPr>
                <w:sz w:val="18"/>
                <w:szCs w:val="18"/>
                <w:lang w:val="sr-Cyrl-CS"/>
              </w:rPr>
              <w:t xml:space="preserve">Институција </w:t>
            </w:r>
          </w:p>
        </w:tc>
        <w:tc>
          <w:tcPr>
            <w:tcW w:w="858" w:type="pct"/>
            <w:gridSpan w:val="2"/>
            <w:shd w:val="clear" w:color="auto" w:fill="auto"/>
            <w:vAlign w:val="center"/>
          </w:tcPr>
          <w:p w14:paraId="208BCBAA" w14:textId="77777777" w:rsidR="00DC5203" w:rsidRPr="00D7756C" w:rsidRDefault="00DC5203" w:rsidP="0007619C">
            <w:pPr>
              <w:rPr>
                <w:sz w:val="18"/>
                <w:szCs w:val="18"/>
                <w:lang w:val="sr-Cyrl-CS"/>
              </w:rPr>
            </w:pPr>
            <w:r w:rsidRPr="00D7756C">
              <w:rPr>
                <w:sz w:val="18"/>
                <w:szCs w:val="18"/>
                <w:lang w:val="sr-Cyrl-CS"/>
              </w:rPr>
              <w:t>Област</w:t>
            </w:r>
          </w:p>
        </w:tc>
        <w:tc>
          <w:tcPr>
            <w:tcW w:w="1116" w:type="pct"/>
            <w:gridSpan w:val="2"/>
            <w:shd w:val="clear" w:color="auto" w:fill="auto"/>
            <w:vAlign w:val="center"/>
          </w:tcPr>
          <w:p w14:paraId="2E110A82" w14:textId="77777777" w:rsidR="00DC5203" w:rsidRPr="00D7756C" w:rsidRDefault="00DC5203" w:rsidP="0007619C">
            <w:pPr>
              <w:rPr>
                <w:sz w:val="18"/>
                <w:szCs w:val="18"/>
              </w:rPr>
            </w:pPr>
            <w:r w:rsidRPr="00D7756C">
              <w:rPr>
                <w:sz w:val="18"/>
                <w:szCs w:val="18"/>
              </w:rPr>
              <w:t>Ужа научна односно уметничка област</w:t>
            </w:r>
          </w:p>
        </w:tc>
      </w:tr>
      <w:tr w:rsidR="00D677BD" w:rsidRPr="00D7756C" w14:paraId="08F6F757" w14:textId="77777777" w:rsidTr="00575E8F">
        <w:trPr>
          <w:trHeight w:val="320"/>
          <w:jc w:val="center"/>
        </w:trPr>
        <w:tc>
          <w:tcPr>
            <w:tcW w:w="1445" w:type="pct"/>
            <w:gridSpan w:val="4"/>
            <w:vAlign w:val="center"/>
          </w:tcPr>
          <w:p w14:paraId="73696FCF" w14:textId="77777777" w:rsidR="00D677BD" w:rsidRPr="00D7756C" w:rsidRDefault="00D677BD" w:rsidP="0007619C">
            <w:pPr>
              <w:rPr>
                <w:sz w:val="18"/>
                <w:szCs w:val="18"/>
                <w:lang w:val="sr-Cyrl-CS"/>
              </w:rPr>
            </w:pPr>
            <w:r w:rsidRPr="00D7756C">
              <w:rPr>
                <w:sz w:val="18"/>
                <w:szCs w:val="18"/>
                <w:lang w:val="sr-Cyrl-CS"/>
              </w:rPr>
              <w:t>Избор у звање</w:t>
            </w:r>
          </w:p>
        </w:tc>
        <w:tc>
          <w:tcPr>
            <w:tcW w:w="621" w:type="pct"/>
            <w:vAlign w:val="center"/>
          </w:tcPr>
          <w:p w14:paraId="2EF34AB1" w14:textId="74F2CB56" w:rsidR="00D677BD" w:rsidRPr="00D7756C" w:rsidRDefault="00D677BD" w:rsidP="0007619C">
            <w:pPr>
              <w:rPr>
                <w:sz w:val="18"/>
                <w:szCs w:val="18"/>
                <w:lang w:val="sr-Cyrl-CS"/>
              </w:rPr>
            </w:pPr>
            <w:r w:rsidRPr="00D7756C">
              <w:rPr>
                <w:sz w:val="18"/>
                <w:szCs w:val="18"/>
                <w:lang w:val="sr-Cyrl-CS"/>
              </w:rPr>
              <w:t>20</w:t>
            </w:r>
            <w:r w:rsidR="00575E8F" w:rsidRPr="00D7756C">
              <w:rPr>
                <w:sz w:val="18"/>
                <w:szCs w:val="18"/>
                <w:lang w:val="sr-Cyrl-CS"/>
              </w:rPr>
              <w:t>20</w:t>
            </w:r>
            <w:r w:rsidR="00CD65A0" w:rsidRPr="00D7756C">
              <w:rPr>
                <w:sz w:val="18"/>
                <w:szCs w:val="18"/>
                <w:lang w:val="sr-Cyrl-CS"/>
              </w:rPr>
              <w:t>.</w:t>
            </w:r>
          </w:p>
        </w:tc>
        <w:tc>
          <w:tcPr>
            <w:tcW w:w="960" w:type="pct"/>
            <w:gridSpan w:val="2"/>
            <w:vAlign w:val="center"/>
          </w:tcPr>
          <w:p w14:paraId="468530C2" w14:textId="77777777" w:rsidR="00D677BD" w:rsidRPr="00D7756C" w:rsidRDefault="00D677BD" w:rsidP="0007619C">
            <w:pPr>
              <w:rPr>
                <w:sz w:val="18"/>
                <w:szCs w:val="18"/>
                <w:lang w:val="sr-Cyrl-CS"/>
              </w:rPr>
            </w:pPr>
            <w:r w:rsidRPr="00D7756C">
              <w:rPr>
                <w:sz w:val="18"/>
                <w:szCs w:val="18"/>
                <w:lang w:val="ru-RU"/>
              </w:rPr>
              <w:t>П</w:t>
            </w:r>
            <w:r w:rsidRPr="00D7756C">
              <w:rPr>
                <w:sz w:val="18"/>
                <w:szCs w:val="18"/>
              </w:rPr>
              <w:t>MF,</w:t>
            </w:r>
            <w:r w:rsidRPr="00D7756C">
              <w:rPr>
                <w:sz w:val="18"/>
                <w:szCs w:val="18"/>
                <w:lang w:val="ru-RU"/>
              </w:rPr>
              <w:t xml:space="preserve"> Нови Сад</w:t>
            </w:r>
          </w:p>
        </w:tc>
        <w:tc>
          <w:tcPr>
            <w:tcW w:w="858" w:type="pct"/>
            <w:gridSpan w:val="2"/>
            <w:shd w:val="clear" w:color="auto" w:fill="auto"/>
            <w:vAlign w:val="center"/>
          </w:tcPr>
          <w:p w14:paraId="7EAC4EC0" w14:textId="77777777" w:rsidR="00D677BD" w:rsidRPr="00D7756C" w:rsidRDefault="00D677BD" w:rsidP="0007619C">
            <w:pPr>
              <w:rPr>
                <w:sz w:val="18"/>
                <w:szCs w:val="18"/>
                <w:lang w:val="sr-Cyrl-CS"/>
              </w:rPr>
            </w:pPr>
            <w:r w:rsidRPr="00D7756C">
              <w:rPr>
                <w:sz w:val="18"/>
                <w:szCs w:val="18"/>
                <w:lang w:val="sr-Cyrl-CS"/>
              </w:rPr>
              <w:t>Туризам</w:t>
            </w:r>
          </w:p>
        </w:tc>
        <w:tc>
          <w:tcPr>
            <w:tcW w:w="1116" w:type="pct"/>
            <w:gridSpan w:val="2"/>
            <w:shd w:val="clear" w:color="auto" w:fill="auto"/>
            <w:vAlign w:val="center"/>
          </w:tcPr>
          <w:p w14:paraId="33561882" w14:textId="77777777" w:rsidR="00D677BD" w:rsidRPr="00D7756C" w:rsidRDefault="00D677BD" w:rsidP="0007619C">
            <w:pPr>
              <w:rPr>
                <w:sz w:val="18"/>
                <w:szCs w:val="18"/>
                <w:lang w:val="sr-Cyrl-CS"/>
              </w:rPr>
            </w:pPr>
            <w:r w:rsidRPr="00D7756C">
              <w:rPr>
                <w:sz w:val="18"/>
                <w:szCs w:val="18"/>
                <w:lang w:val="sr-Cyrl-CS"/>
              </w:rPr>
              <w:t>Туризам</w:t>
            </w:r>
          </w:p>
        </w:tc>
      </w:tr>
      <w:tr w:rsidR="00D677BD" w:rsidRPr="00D7756C" w14:paraId="0B7145E6" w14:textId="77777777" w:rsidTr="00575E8F">
        <w:trPr>
          <w:trHeight w:val="320"/>
          <w:jc w:val="center"/>
        </w:trPr>
        <w:tc>
          <w:tcPr>
            <w:tcW w:w="1445" w:type="pct"/>
            <w:gridSpan w:val="4"/>
            <w:vAlign w:val="center"/>
          </w:tcPr>
          <w:p w14:paraId="057B7C5B" w14:textId="77777777" w:rsidR="00D677BD" w:rsidRPr="00D7756C" w:rsidRDefault="00D677BD" w:rsidP="0007619C">
            <w:pPr>
              <w:rPr>
                <w:sz w:val="18"/>
                <w:szCs w:val="18"/>
                <w:lang w:val="sr-Cyrl-CS"/>
              </w:rPr>
            </w:pPr>
            <w:r w:rsidRPr="00D7756C">
              <w:rPr>
                <w:sz w:val="18"/>
                <w:szCs w:val="18"/>
                <w:lang w:val="sr-Cyrl-CS"/>
              </w:rPr>
              <w:t>Докторат</w:t>
            </w:r>
          </w:p>
        </w:tc>
        <w:tc>
          <w:tcPr>
            <w:tcW w:w="621" w:type="pct"/>
            <w:vAlign w:val="center"/>
          </w:tcPr>
          <w:p w14:paraId="6D5E67ED" w14:textId="216F866C" w:rsidR="00D677BD" w:rsidRPr="00D7756C" w:rsidRDefault="00D677BD" w:rsidP="0007619C">
            <w:pPr>
              <w:rPr>
                <w:sz w:val="18"/>
                <w:szCs w:val="18"/>
                <w:lang w:val="sr-Cyrl-CS"/>
              </w:rPr>
            </w:pPr>
            <w:r w:rsidRPr="00D7756C">
              <w:rPr>
                <w:sz w:val="18"/>
                <w:szCs w:val="18"/>
                <w:lang w:val="sr-Cyrl-CS"/>
              </w:rPr>
              <w:t>201</w:t>
            </w:r>
            <w:r w:rsidR="00575E8F" w:rsidRPr="00D7756C">
              <w:rPr>
                <w:sz w:val="18"/>
                <w:szCs w:val="18"/>
                <w:lang w:val="sr-Cyrl-CS"/>
              </w:rPr>
              <w:t>4</w:t>
            </w:r>
            <w:r w:rsidR="00CD65A0" w:rsidRPr="00D7756C">
              <w:rPr>
                <w:sz w:val="18"/>
                <w:szCs w:val="18"/>
                <w:lang w:val="sr-Cyrl-CS"/>
              </w:rPr>
              <w:t>.</w:t>
            </w:r>
          </w:p>
        </w:tc>
        <w:tc>
          <w:tcPr>
            <w:tcW w:w="960" w:type="pct"/>
            <w:gridSpan w:val="2"/>
            <w:vAlign w:val="center"/>
          </w:tcPr>
          <w:p w14:paraId="59C5EA21" w14:textId="77777777" w:rsidR="00D677BD" w:rsidRPr="00D7756C" w:rsidRDefault="00D677BD" w:rsidP="0007619C">
            <w:pPr>
              <w:rPr>
                <w:sz w:val="18"/>
                <w:szCs w:val="18"/>
                <w:lang w:val="sr-Cyrl-CS"/>
              </w:rPr>
            </w:pPr>
            <w:r w:rsidRPr="00D7756C">
              <w:rPr>
                <w:sz w:val="18"/>
                <w:szCs w:val="18"/>
                <w:lang w:val="ru-RU"/>
              </w:rPr>
              <w:t>П</w:t>
            </w:r>
            <w:r w:rsidRPr="00D7756C">
              <w:rPr>
                <w:sz w:val="18"/>
                <w:szCs w:val="18"/>
              </w:rPr>
              <w:t>MF,</w:t>
            </w:r>
            <w:r w:rsidRPr="00D7756C">
              <w:rPr>
                <w:sz w:val="18"/>
                <w:szCs w:val="18"/>
                <w:lang w:val="ru-RU"/>
              </w:rPr>
              <w:t xml:space="preserve"> Нови Сад</w:t>
            </w:r>
          </w:p>
        </w:tc>
        <w:tc>
          <w:tcPr>
            <w:tcW w:w="858" w:type="pct"/>
            <w:gridSpan w:val="2"/>
            <w:shd w:val="clear" w:color="auto" w:fill="auto"/>
            <w:vAlign w:val="center"/>
          </w:tcPr>
          <w:p w14:paraId="18B3D7B8" w14:textId="77777777" w:rsidR="00D677BD" w:rsidRPr="00D7756C" w:rsidRDefault="00D677BD" w:rsidP="0007619C">
            <w:pPr>
              <w:rPr>
                <w:sz w:val="18"/>
                <w:szCs w:val="18"/>
                <w:lang w:val="sr-Cyrl-CS"/>
              </w:rPr>
            </w:pPr>
            <w:r w:rsidRPr="00D7756C">
              <w:rPr>
                <w:sz w:val="18"/>
                <w:szCs w:val="18"/>
                <w:lang w:val="sr-Cyrl-CS"/>
              </w:rPr>
              <w:t>Туризам</w:t>
            </w:r>
          </w:p>
        </w:tc>
        <w:tc>
          <w:tcPr>
            <w:tcW w:w="1116" w:type="pct"/>
            <w:gridSpan w:val="2"/>
            <w:shd w:val="clear" w:color="auto" w:fill="auto"/>
            <w:vAlign w:val="center"/>
          </w:tcPr>
          <w:p w14:paraId="46677E9E" w14:textId="77777777" w:rsidR="00D677BD" w:rsidRPr="00D7756C" w:rsidRDefault="00D677BD" w:rsidP="0007619C">
            <w:pPr>
              <w:rPr>
                <w:sz w:val="18"/>
                <w:szCs w:val="18"/>
                <w:lang w:val="sr-Cyrl-CS"/>
              </w:rPr>
            </w:pPr>
            <w:r w:rsidRPr="00D7756C">
              <w:rPr>
                <w:sz w:val="18"/>
                <w:szCs w:val="18"/>
                <w:lang w:val="sr-Cyrl-CS"/>
              </w:rPr>
              <w:t>Туризам</w:t>
            </w:r>
          </w:p>
        </w:tc>
      </w:tr>
      <w:tr w:rsidR="00575E8F" w:rsidRPr="00D7756C" w14:paraId="77649411" w14:textId="77777777" w:rsidTr="00575E8F">
        <w:trPr>
          <w:trHeight w:val="320"/>
          <w:jc w:val="center"/>
        </w:trPr>
        <w:tc>
          <w:tcPr>
            <w:tcW w:w="1445" w:type="pct"/>
            <w:gridSpan w:val="4"/>
            <w:vAlign w:val="center"/>
          </w:tcPr>
          <w:p w14:paraId="13933B82" w14:textId="77777777" w:rsidR="00575E8F" w:rsidRPr="00D7756C" w:rsidRDefault="00575E8F" w:rsidP="0007619C">
            <w:pPr>
              <w:rPr>
                <w:sz w:val="18"/>
                <w:szCs w:val="18"/>
              </w:rPr>
            </w:pPr>
            <w:r w:rsidRPr="00D7756C">
              <w:rPr>
                <w:sz w:val="18"/>
                <w:szCs w:val="18"/>
              </w:rPr>
              <w:t>Магистратура</w:t>
            </w:r>
          </w:p>
        </w:tc>
        <w:tc>
          <w:tcPr>
            <w:tcW w:w="621" w:type="pct"/>
            <w:vAlign w:val="center"/>
          </w:tcPr>
          <w:p w14:paraId="125EB17D" w14:textId="4E84B187" w:rsidR="00575E8F" w:rsidRPr="00D7756C" w:rsidRDefault="00575E8F" w:rsidP="0007619C">
            <w:pPr>
              <w:rPr>
                <w:sz w:val="18"/>
                <w:szCs w:val="18"/>
                <w:lang w:val="sr-Cyrl-CS"/>
              </w:rPr>
            </w:pPr>
            <w:r w:rsidRPr="00D7756C">
              <w:rPr>
                <w:sz w:val="18"/>
                <w:szCs w:val="18"/>
                <w:lang w:val="sr-Cyrl-CS"/>
              </w:rPr>
              <w:t>2009</w:t>
            </w:r>
            <w:r w:rsidR="00CD65A0" w:rsidRPr="00D7756C">
              <w:rPr>
                <w:sz w:val="18"/>
                <w:szCs w:val="18"/>
                <w:lang w:val="sr-Cyrl-CS"/>
              </w:rPr>
              <w:t>.</w:t>
            </w:r>
          </w:p>
        </w:tc>
        <w:tc>
          <w:tcPr>
            <w:tcW w:w="960" w:type="pct"/>
            <w:gridSpan w:val="2"/>
            <w:vAlign w:val="center"/>
          </w:tcPr>
          <w:p w14:paraId="55CBB1EB" w14:textId="74FDB62C" w:rsidR="00575E8F" w:rsidRPr="00D7756C" w:rsidRDefault="00575E8F" w:rsidP="0007619C">
            <w:pPr>
              <w:rPr>
                <w:sz w:val="18"/>
                <w:szCs w:val="18"/>
                <w:lang w:val="sr-Cyrl-CS"/>
              </w:rPr>
            </w:pPr>
            <w:r w:rsidRPr="00D7756C">
              <w:rPr>
                <w:sz w:val="18"/>
                <w:szCs w:val="18"/>
                <w:lang w:val="ru-RU"/>
              </w:rPr>
              <w:t>П</w:t>
            </w:r>
            <w:r w:rsidRPr="00D7756C">
              <w:rPr>
                <w:sz w:val="18"/>
                <w:szCs w:val="18"/>
              </w:rPr>
              <w:t>MF,</w:t>
            </w:r>
            <w:r w:rsidRPr="00D7756C">
              <w:rPr>
                <w:sz w:val="18"/>
                <w:szCs w:val="18"/>
                <w:lang w:val="ru-RU"/>
              </w:rPr>
              <w:t xml:space="preserve"> Нови Сад</w:t>
            </w:r>
          </w:p>
        </w:tc>
        <w:tc>
          <w:tcPr>
            <w:tcW w:w="858" w:type="pct"/>
            <w:gridSpan w:val="2"/>
            <w:shd w:val="clear" w:color="auto" w:fill="auto"/>
            <w:vAlign w:val="center"/>
          </w:tcPr>
          <w:p w14:paraId="02757657" w14:textId="4442BAD5" w:rsidR="00575E8F" w:rsidRPr="00D7756C" w:rsidRDefault="00575E8F" w:rsidP="0007619C">
            <w:pPr>
              <w:rPr>
                <w:sz w:val="18"/>
                <w:szCs w:val="18"/>
                <w:lang w:val="sr-Cyrl-CS"/>
              </w:rPr>
            </w:pPr>
            <w:r w:rsidRPr="00D7756C">
              <w:rPr>
                <w:sz w:val="18"/>
                <w:szCs w:val="18"/>
                <w:lang w:val="sr-Cyrl-CS"/>
              </w:rPr>
              <w:t>Туризам</w:t>
            </w:r>
          </w:p>
        </w:tc>
        <w:tc>
          <w:tcPr>
            <w:tcW w:w="1116" w:type="pct"/>
            <w:gridSpan w:val="2"/>
            <w:shd w:val="clear" w:color="auto" w:fill="auto"/>
            <w:vAlign w:val="center"/>
          </w:tcPr>
          <w:p w14:paraId="6F49A5A5" w14:textId="4F06592A" w:rsidR="00575E8F" w:rsidRPr="00D7756C" w:rsidRDefault="00575E8F" w:rsidP="0007619C">
            <w:pPr>
              <w:rPr>
                <w:sz w:val="18"/>
                <w:szCs w:val="18"/>
                <w:lang w:val="sr-Cyrl-CS"/>
              </w:rPr>
            </w:pPr>
            <w:r w:rsidRPr="00D7756C">
              <w:rPr>
                <w:sz w:val="18"/>
                <w:szCs w:val="18"/>
                <w:lang w:val="sr-Cyrl-CS"/>
              </w:rPr>
              <w:t>Туризам</w:t>
            </w:r>
          </w:p>
        </w:tc>
      </w:tr>
      <w:tr w:rsidR="00575E8F" w:rsidRPr="00D7756C" w14:paraId="37B31519" w14:textId="77777777" w:rsidTr="00575E8F">
        <w:trPr>
          <w:trHeight w:val="320"/>
          <w:jc w:val="center"/>
        </w:trPr>
        <w:tc>
          <w:tcPr>
            <w:tcW w:w="1445" w:type="pct"/>
            <w:gridSpan w:val="4"/>
            <w:vAlign w:val="center"/>
          </w:tcPr>
          <w:p w14:paraId="48F50831" w14:textId="77777777" w:rsidR="00575E8F" w:rsidRPr="00D7756C" w:rsidRDefault="00575E8F" w:rsidP="0007619C">
            <w:pPr>
              <w:rPr>
                <w:sz w:val="18"/>
                <w:szCs w:val="18"/>
                <w:lang w:val="sr-Cyrl-CS"/>
              </w:rPr>
            </w:pPr>
            <w:r w:rsidRPr="00D7756C">
              <w:rPr>
                <w:sz w:val="18"/>
                <w:szCs w:val="18"/>
                <w:lang w:val="sr-Cyrl-CS"/>
              </w:rPr>
              <w:t>Диплома</w:t>
            </w:r>
          </w:p>
        </w:tc>
        <w:tc>
          <w:tcPr>
            <w:tcW w:w="621" w:type="pct"/>
            <w:vAlign w:val="center"/>
          </w:tcPr>
          <w:p w14:paraId="7B48184A" w14:textId="539B6F25" w:rsidR="00575E8F" w:rsidRPr="00D7756C" w:rsidRDefault="00575E8F" w:rsidP="0007619C">
            <w:pPr>
              <w:rPr>
                <w:sz w:val="18"/>
                <w:szCs w:val="18"/>
                <w:lang w:val="sr-Cyrl-CS"/>
              </w:rPr>
            </w:pPr>
            <w:r w:rsidRPr="00D7756C">
              <w:rPr>
                <w:sz w:val="18"/>
                <w:szCs w:val="18"/>
                <w:lang w:val="sr-Cyrl-CS"/>
              </w:rPr>
              <w:t>2004</w:t>
            </w:r>
            <w:r w:rsidR="00CD65A0" w:rsidRPr="00D7756C">
              <w:rPr>
                <w:sz w:val="18"/>
                <w:szCs w:val="18"/>
                <w:lang w:val="sr-Cyrl-CS"/>
              </w:rPr>
              <w:t>.</w:t>
            </w:r>
          </w:p>
        </w:tc>
        <w:tc>
          <w:tcPr>
            <w:tcW w:w="960" w:type="pct"/>
            <w:gridSpan w:val="2"/>
            <w:vAlign w:val="center"/>
          </w:tcPr>
          <w:p w14:paraId="17D8BC95" w14:textId="77777777" w:rsidR="00575E8F" w:rsidRPr="00D7756C" w:rsidRDefault="00575E8F" w:rsidP="0007619C">
            <w:pPr>
              <w:rPr>
                <w:sz w:val="18"/>
                <w:szCs w:val="18"/>
                <w:lang w:val="sr-Cyrl-CS"/>
              </w:rPr>
            </w:pPr>
            <w:r w:rsidRPr="00D7756C">
              <w:rPr>
                <w:sz w:val="18"/>
                <w:szCs w:val="18"/>
                <w:lang w:val="ru-RU"/>
              </w:rPr>
              <w:t>П</w:t>
            </w:r>
            <w:r w:rsidRPr="00D7756C">
              <w:rPr>
                <w:sz w:val="18"/>
                <w:szCs w:val="18"/>
              </w:rPr>
              <w:t>MF,</w:t>
            </w:r>
            <w:r w:rsidRPr="00D7756C">
              <w:rPr>
                <w:sz w:val="18"/>
                <w:szCs w:val="18"/>
                <w:lang w:val="ru-RU"/>
              </w:rPr>
              <w:t xml:space="preserve"> Нови Сад</w:t>
            </w:r>
          </w:p>
        </w:tc>
        <w:tc>
          <w:tcPr>
            <w:tcW w:w="858" w:type="pct"/>
            <w:gridSpan w:val="2"/>
            <w:shd w:val="clear" w:color="auto" w:fill="auto"/>
            <w:vAlign w:val="center"/>
          </w:tcPr>
          <w:p w14:paraId="70C7509B" w14:textId="77777777" w:rsidR="00575E8F" w:rsidRPr="00D7756C" w:rsidRDefault="00575E8F" w:rsidP="0007619C">
            <w:pPr>
              <w:rPr>
                <w:sz w:val="18"/>
                <w:szCs w:val="18"/>
                <w:lang w:val="sr-Cyrl-CS"/>
              </w:rPr>
            </w:pPr>
            <w:r w:rsidRPr="00D7756C">
              <w:rPr>
                <w:sz w:val="18"/>
                <w:szCs w:val="18"/>
                <w:lang w:val="sr-Cyrl-CS"/>
              </w:rPr>
              <w:t>Туризам</w:t>
            </w:r>
          </w:p>
        </w:tc>
        <w:tc>
          <w:tcPr>
            <w:tcW w:w="1116" w:type="pct"/>
            <w:gridSpan w:val="2"/>
            <w:shd w:val="clear" w:color="auto" w:fill="auto"/>
            <w:vAlign w:val="center"/>
          </w:tcPr>
          <w:p w14:paraId="296C3828" w14:textId="77777777" w:rsidR="00575E8F" w:rsidRPr="00D7756C" w:rsidRDefault="00575E8F" w:rsidP="0007619C">
            <w:pPr>
              <w:rPr>
                <w:sz w:val="18"/>
                <w:szCs w:val="18"/>
                <w:lang w:val="sr-Cyrl-CS"/>
              </w:rPr>
            </w:pPr>
            <w:r w:rsidRPr="00D7756C">
              <w:rPr>
                <w:sz w:val="18"/>
                <w:szCs w:val="18"/>
                <w:lang w:val="sr-Cyrl-CS"/>
              </w:rPr>
              <w:t>Туризам</w:t>
            </w:r>
          </w:p>
        </w:tc>
      </w:tr>
      <w:tr w:rsidR="00575E8F" w:rsidRPr="00D7756C" w14:paraId="01FE1A44" w14:textId="77777777" w:rsidTr="00AF2079">
        <w:trPr>
          <w:trHeight w:val="320"/>
          <w:jc w:val="center"/>
        </w:trPr>
        <w:tc>
          <w:tcPr>
            <w:tcW w:w="5000" w:type="pct"/>
            <w:gridSpan w:val="11"/>
            <w:vAlign w:val="center"/>
          </w:tcPr>
          <w:p w14:paraId="6C3D2D41" w14:textId="77777777" w:rsidR="00575E8F" w:rsidRPr="00D7756C" w:rsidRDefault="00575E8F" w:rsidP="0007619C">
            <w:pPr>
              <w:rPr>
                <w:b/>
                <w:sz w:val="18"/>
                <w:szCs w:val="18"/>
              </w:rPr>
            </w:pPr>
            <w:r w:rsidRPr="00D7756C">
              <w:rPr>
                <w:b/>
                <w:sz w:val="18"/>
                <w:szCs w:val="18"/>
                <w:lang w:val="sr-Cyrl-CS"/>
              </w:rPr>
              <w:t xml:space="preserve">Списак предмета </w:t>
            </w:r>
            <w:r w:rsidRPr="00D7756C">
              <w:rPr>
                <w:b/>
                <w:sz w:val="18"/>
                <w:szCs w:val="18"/>
              </w:rPr>
              <w:t>које наставник држи на докторским студијама</w:t>
            </w:r>
          </w:p>
        </w:tc>
      </w:tr>
      <w:tr w:rsidR="00575E8F" w:rsidRPr="00D7756C" w14:paraId="0E3825CB" w14:textId="77777777" w:rsidTr="00427DA8">
        <w:trPr>
          <w:trHeight w:val="320"/>
          <w:jc w:val="center"/>
        </w:trPr>
        <w:tc>
          <w:tcPr>
            <w:tcW w:w="425" w:type="pct"/>
            <w:gridSpan w:val="2"/>
            <w:shd w:val="clear" w:color="auto" w:fill="auto"/>
            <w:vAlign w:val="center"/>
          </w:tcPr>
          <w:p w14:paraId="0C425BBA" w14:textId="77777777" w:rsidR="00575E8F" w:rsidRPr="00D7756C" w:rsidRDefault="00575E8F" w:rsidP="0007619C">
            <w:pPr>
              <w:rPr>
                <w:b/>
                <w:sz w:val="18"/>
                <w:szCs w:val="18"/>
                <w:lang w:val="sr-Cyrl-CS"/>
              </w:rPr>
            </w:pPr>
            <w:r w:rsidRPr="00D7756C">
              <w:rPr>
                <w:b/>
                <w:sz w:val="18"/>
                <w:szCs w:val="18"/>
                <w:lang w:val="sr-Cyrl-CS"/>
              </w:rPr>
              <w:t>Р.Б.</w:t>
            </w:r>
          </w:p>
        </w:tc>
        <w:tc>
          <w:tcPr>
            <w:tcW w:w="653" w:type="pct"/>
            <w:shd w:val="clear" w:color="auto" w:fill="auto"/>
            <w:vAlign w:val="center"/>
          </w:tcPr>
          <w:p w14:paraId="68C5AAD0" w14:textId="77777777" w:rsidR="00575E8F" w:rsidRPr="00D7756C" w:rsidRDefault="00575E8F" w:rsidP="0007619C">
            <w:pPr>
              <w:rPr>
                <w:b/>
                <w:sz w:val="18"/>
                <w:szCs w:val="18"/>
              </w:rPr>
            </w:pPr>
            <w:r w:rsidRPr="00D7756C">
              <w:rPr>
                <w:b/>
                <w:sz w:val="18"/>
                <w:szCs w:val="18"/>
              </w:rPr>
              <w:t xml:space="preserve">Ознака </w:t>
            </w:r>
          </w:p>
        </w:tc>
        <w:tc>
          <w:tcPr>
            <w:tcW w:w="3922" w:type="pct"/>
            <w:gridSpan w:val="8"/>
            <w:vAlign w:val="center"/>
          </w:tcPr>
          <w:p w14:paraId="0236DFE6" w14:textId="77777777" w:rsidR="00575E8F" w:rsidRPr="00D7756C" w:rsidRDefault="00575E8F" w:rsidP="0007619C">
            <w:pPr>
              <w:rPr>
                <w:b/>
                <w:sz w:val="18"/>
                <w:szCs w:val="18"/>
              </w:rPr>
            </w:pPr>
            <w:r w:rsidRPr="00D7756C">
              <w:rPr>
                <w:b/>
                <w:iCs/>
                <w:sz w:val="18"/>
                <w:szCs w:val="18"/>
                <w:lang w:val="sr-Cyrl-CS"/>
              </w:rPr>
              <w:t>Назив предмета</w:t>
            </w:r>
          </w:p>
        </w:tc>
      </w:tr>
      <w:tr w:rsidR="00575E8F" w:rsidRPr="00D7756C" w14:paraId="410B8D13" w14:textId="77777777" w:rsidTr="00427DA8">
        <w:trPr>
          <w:trHeight w:val="320"/>
          <w:jc w:val="center"/>
        </w:trPr>
        <w:tc>
          <w:tcPr>
            <w:tcW w:w="425" w:type="pct"/>
            <w:gridSpan w:val="2"/>
            <w:shd w:val="clear" w:color="auto" w:fill="auto"/>
            <w:vAlign w:val="center"/>
          </w:tcPr>
          <w:p w14:paraId="1B0E88CF" w14:textId="77777777" w:rsidR="00575E8F" w:rsidRPr="00D7756C" w:rsidRDefault="00575E8F" w:rsidP="0007619C">
            <w:pPr>
              <w:rPr>
                <w:sz w:val="18"/>
                <w:szCs w:val="18"/>
                <w:lang w:val="sr-Cyrl-CS"/>
              </w:rPr>
            </w:pPr>
            <w:r w:rsidRPr="00D7756C">
              <w:rPr>
                <w:sz w:val="18"/>
                <w:szCs w:val="18"/>
                <w:lang w:val="sr-Cyrl-CS"/>
              </w:rPr>
              <w:t>1.</w:t>
            </w:r>
          </w:p>
        </w:tc>
        <w:tc>
          <w:tcPr>
            <w:tcW w:w="653" w:type="pct"/>
            <w:shd w:val="clear" w:color="auto" w:fill="auto"/>
            <w:vAlign w:val="center"/>
          </w:tcPr>
          <w:p w14:paraId="17A33030" w14:textId="6E2220FF" w:rsidR="00575E8F" w:rsidRPr="00D7756C" w:rsidRDefault="00575E8F" w:rsidP="0007619C">
            <w:pPr>
              <w:rPr>
                <w:sz w:val="18"/>
                <w:szCs w:val="18"/>
                <w:lang w:val="sr-Cyrl-CS"/>
              </w:rPr>
            </w:pPr>
            <w:r w:rsidRPr="00D7756C">
              <w:rPr>
                <w:sz w:val="18"/>
                <w:szCs w:val="18"/>
                <w:lang w:val="sr-Cyrl-CS"/>
              </w:rPr>
              <w:t>ДТ127</w:t>
            </w:r>
          </w:p>
        </w:tc>
        <w:tc>
          <w:tcPr>
            <w:tcW w:w="3922" w:type="pct"/>
            <w:gridSpan w:val="8"/>
            <w:vAlign w:val="center"/>
          </w:tcPr>
          <w:p w14:paraId="6A7C63BF" w14:textId="6A3E0E76" w:rsidR="00575E8F" w:rsidRPr="00D7756C" w:rsidRDefault="006D1CE4" w:rsidP="0007619C">
            <w:pPr>
              <w:rPr>
                <w:sz w:val="18"/>
                <w:szCs w:val="18"/>
                <w:lang w:val="sr-Cyrl-CS"/>
              </w:rPr>
            </w:pPr>
            <w:r w:rsidRPr="00D7756C">
              <w:rPr>
                <w:sz w:val="18"/>
                <w:szCs w:val="18"/>
                <w:lang w:val="en-US"/>
              </w:rPr>
              <w:t>Стратешка партнерства и интерсекторско повезивање у туризму</w:t>
            </w:r>
          </w:p>
        </w:tc>
      </w:tr>
      <w:tr w:rsidR="00575E8F" w:rsidRPr="00D7756C" w14:paraId="0ED5BC52" w14:textId="77777777" w:rsidTr="00AF2079">
        <w:trPr>
          <w:trHeight w:val="320"/>
          <w:jc w:val="center"/>
        </w:trPr>
        <w:tc>
          <w:tcPr>
            <w:tcW w:w="5000" w:type="pct"/>
            <w:gridSpan w:val="11"/>
            <w:vAlign w:val="center"/>
          </w:tcPr>
          <w:p w14:paraId="732FE0F3" w14:textId="77777777" w:rsidR="00575E8F" w:rsidRPr="00D7756C" w:rsidRDefault="00575E8F" w:rsidP="0007619C">
            <w:pPr>
              <w:rPr>
                <w:b/>
                <w:sz w:val="18"/>
                <w:szCs w:val="18"/>
              </w:rPr>
            </w:pPr>
            <w:r w:rsidRPr="00D7756C">
              <w:rPr>
                <w:sz w:val="18"/>
                <w:szCs w:val="18"/>
                <w:lang w:val="sr-Cyrl-CS"/>
              </w:rPr>
              <w:t xml:space="preserve">Најзначајнији радови </w:t>
            </w:r>
            <w:r w:rsidRPr="00D7756C">
              <w:rPr>
                <w:b/>
                <w:sz w:val="18"/>
                <w:szCs w:val="18"/>
                <w:lang w:val="sr-Cyrl-CS"/>
              </w:rPr>
              <w:t xml:space="preserve"> у складу са захтевима допунских услова  стандарда за дато поље (минимално 10 не више од 20)</w:t>
            </w:r>
            <w:r w:rsidRPr="00D7756C">
              <w:rPr>
                <w:b/>
                <w:sz w:val="18"/>
                <w:szCs w:val="18"/>
              </w:rPr>
              <w:t xml:space="preserve"> </w:t>
            </w:r>
          </w:p>
        </w:tc>
      </w:tr>
      <w:tr w:rsidR="00575E8F" w:rsidRPr="00D7756C" w14:paraId="780FB9C7" w14:textId="77777777" w:rsidTr="00427DA8">
        <w:trPr>
          <w:trHeight w:val="320"/>
          <w:jc w:val="center"/>
        </w:trPr>
        <w:tc>
          <w:tcPr>
            <w:tcW w:w="202" w:type="pct"/>
            <w:vAlign w:val="center"/>
          </w:tcPr>
          <w:p w14:paraId="38A65AF3" w14:textId="77777777" w:rsidR="00575E8F" w:rsidRPr="00D7756C" w:rsidRDefault="00575E8F" w:rsidP="0007619C">
            <w:pPr>
              <w:pStyle w:val="ListParagraph"/>
              <w:numPr>
                <w:ilvl w:val="0"/>
                <w:numId w:val="1"/>
              </w:numPr>
              <w:ind w:left="0" w:firstLine="0"/>
              <w:rPr>
                <w:sz w:val="18"/>
                <w:szCs w:val="18"/>
                <w:lang w:val="sr-Cyrl-CS"/>
              </w:rPr>
            </w:pPr>
          </w:p>
        </w:tc>
        <w:tc>
          <w:tcPr>
            <w:tcW w:w="4330" w:type="pct"/>
            <w:gridSpan w:val="9"/>
            <w:shd w:val="clear" w:color="auto" w:fill="auto"/>
          </w:tcPr>
          <w:p w14:paraId="60FBE8DA" w14:textId="7BB006DF" w:rsidR="00575E8F" w:rsidRPr="00D7756C" w:rsidRDefault="00575E8F" w:rsidP="0007619C">
            <w:pPr>
              <w:rPr>
                <w:sz w:val="14"/>
                <w:szCs w:val="14"/>
              </w:rPr>
            </w:pPr>
            <w:r w:rsidRPr="00D7756C">
              <w:rPr>
                <w:sz w:val="14"/>
                <w:szCs w:val="14"/>
              </w:rPr>
              <w:t xml:space="preserve">Stojanović, V., Đorđević, J., Lazić, L., Stamenković, I., Dragićević, V. (2014): The principles of sustainable development of tourism in the Special Nature Reserve Gornje Podunavlje and their impact on the local communities, Acta geographica Slovenica </w:t>
            </w:r>
            <w:r w:rsidRPr="00D7756C">
              <w:rPr>
                <w:rStyle w:val="Strong"/>
                <w:b w:val="0"/>
                <w:sz w:val="14"/>
                <w:szCs w:val="14"/>
              </w:rPr>
              <w:t>Special issue – SyCULTour 2014</w:t>
            </w:r>
            <w:r w:rsidRPr="00D7756C">
              <w:rPr>
                <w:sz w:val="14"/>
                <w:szCs w:val="14"/>
              </w:rPr>
              <w:t xml:space="preserve">, Anton Melik Geographical institute of ZRC SAZU, Ljubljana, 54-2. DOI: 10.3986/AGS54407, UDC: 913:338.48(497.113), 338.48:712(497.113). </w:t>
            </w:r>
          </w:p>
        </w:tc>
        <w:tc>
          <w:tcPr>
            <w:tcW w:w="468" w:type="pct"/>
            <w:vAlign w:val="center"/>
          </w:tcPr>
          <w:p w14:paraId="3B20E576" w14:textId="1B7D797E" w:rsidR="00575E8F" w:rsidRPr="00D7756C" w:rsidRDefault="00575E8F" w:rsidP="0007619C">
            <w:pPr>
              <w:rPr>
                <w:sz w:val="16"/>
                <w:szCs w:val="16"/>
                <w:lang w:val="sr-Cyrl-CS"/>
              </w:rPr>
            </w:pPr>
            <w:r w:rsidRPr="00D7756C">
              <w:rPr>
                <w:sz w:val="16"/>
                <w:szCs w:val="16"/>
              </w:rPr>
              <w:t>M23</w:t>
            </w:r>
          </w:p>
        </w:tc>
      </w:tr>
      <w:tr w:rsidR="00575E8F" w:rsidRPr="00D7756C" w14:paraId="76E9FFB9" w14:textId="77777777" w:rsidTr="00427DA8">
        <w:trPr>
          <w:trHeight w:val="320"/>
          <w:jc w:val="center"/>
        </w:trPr>
        <w:tc>
          <w:tcPr>
            <w:tcW w:w="202" w:type="pct"/>
            <w:vAlign w:val="center"/>
          </w:tcPr>
          <w:p w14:paraId="0E57064D" w14:textId="77777777" w:rsidR="00575E8F" w:rsidRPr="00D7756C" w:rsidRDefault="00575E8F" w:rsidP="0007619C">
            <w:pPr>
              <w:pStyle w:val="ListParagraph"/>
              <w:numPr>
                <w:ilvl w:val="0"/>
                <w:numId w:val="1"/>
              </w:numPr>
              <w:ind w:left="0" w:firstLine="0"/>
              <w:rPr>
                <w:sz w:val="18"/>
                <w:szCs w:val="18"/>
                <w:lang w:val="sr-Cyrl-CS"/>
              </w:rPr>
            </w:pPr>
          </w:p>
        </w:tc>
        <w:tc>
          <w:tcPr>
            <w:tcW w:w="4330" w:type="pct"/>
            <w:gridSpan w:val="9"/>
            <w:shd w:val="clear" w:color="auto" w:fill="auto"/>
          </w:tcPr>
          <w:p w14:paraId="3B9966F4" w14:textId="6A7F4469" w:rsidR="00575E8F" w:rsidRPr="00D7756C" w:rsidRDefault="00575E8F" w:rsidP="0007619C">
            <w:pPr>
              <w:rPr>
                <w:sz w:val="14"/>
                <w:szCs w:val="14"/>
              </w:rPr>
            </w:pPr>
            <w:r w:rsidRPr="00D7756C">
              <w:rPr>
                <w:sz w:val="14"/>
                <w:szCs w:val="14"/>
              </w:rPr>
              <w:t xml:space="preserve">Blešić Ivana, Pivac Tatjana, Đorđević Jasmina, Stamenković, I., Janićević, S. (2014): Cultural events as part of cultural tourism development. Case study: Sombor and Apatin (Serbia), Acta geographica Slovenica </w:t>
            </w:r>
            <w:r w:rsidRPr="00D7756C">
              <w:rPr>
                <w:rStyle w:val="Strong"/>
                <w:b w:val="0"/>
                <w:sz w:val="14"/>
                <w:szCs w:val="14"/>
              </w:rPr>
              <w:t>Special issue – SyCULTour 2014</w:t>
            </w:r>
            <w:r w:rsidRPr="00D7756C">
              <w:rPr>
                <w:sz w:val="14"/>
                <w:szCs w:val="14"/>
              </w:rPr>
              <w:t xml:space="preserve">, Anton Melik Geographical institute of ZRC SAZU, Ljubljana, 54-2, DOI: 10.3986/AGS54406, UDC:  913:338.48(497.113), 338.48-6:7/8(497.113). </w:t>
            </w:r>
          </w:p>
        </w:tc>
        <w:tc>
          <w:tcPr>
            <w:tcW w:w="468" w:type="pct"/>
            <w:vAlign w:val="center"/>
          </w:tcPr>
          <w:p w14:paraId="070F7436" w14:textId="25A31E1F" w:rsidR="00575E8F" w:rsidRPr="00D7756C" w:rsidRDefault="00575E8F" w:rsidP="0007619C">
            <w:pPr>
              <w:rPr>
                <w:sz w:val="16"/>
                <w:szCs w:val="16"/>
                <w:lang w:val="sr-Cyrl-CS"/>
              </w:rPr>
            </w:pPr>
            <w:r w:rsidRPr="00D7756C">
              <w:rPr>
                <w:sz w:val="16"/>
                <w:szCs w:val="16"/>
                <w:lang w:val="sr-Cyrl-CS"/>
              </w:rPr>
              <w:t>М23</w:t>
            </w:r>
          </w:p>
        </w:tc>
      </w:tr>
      <w:tr w:rsidR="00575E8F" w:rsidRPr="00D7756C" w14:paraId="42FDED35" w14:textId="77777777" w:rsidTr="00427DA8">
        <w:trPr>
          <w:trHeight w:val="320"/>
          <w:jc w:val="center"/>
        </w:trPr>
        <w:tc>
          <w:tcPr>
            <w:tcW w:w="202" w:type="pct"/>
            <w:vAlign w:val="center"/>
          </w:tcPr>
          <w:p w14:paraId="0A0460AF" w14:textId="77777777" w:rsidR="00575E8F" w:rsidRPr="00D7756C" w:rsidRDefault="00575E8F" w:rsidP="0007619C">
            <w:pPr>
              <w:pStyle w:val="ListParagraph"/>
              <w:numPr>
                <w:ilvl w:val="0"/>
                <w:numId w:val="1"/>
              </w:numPr>
              <w:ind w:left="0" w:firstLine="0"/>
              <w:rPr>
                <w:sz w:val="18"/>
                <w:szCs w:val="18"/>
                <w:lang w:val="sr-Cyrl-CS"/>
              </w:rPr>
            </w:pPr>
          </w:p>
        </w:tc>
        <w:tc>
          <w:tcPr>
            <w:tcW w:w="4330" w:type="pct"/>
            <w:gridSpan w:val="9"/>
            <w:shd w:val="clear" w:color="auto" w:fill="auto"/>
          </w:tcPr>
          <w:p w14:paraId="07BDF611" w14:textId="77777777" w:rsidR="00575E8F" w:rsidRPr="00D7756C" w:rsidRDefault="00575E8F" w:rsidP="0007619C">
            <w:pPr>
              <w:shd w:val="clear" w:color="auto" w:fill="FFFFFF"/>
              <w:jc w:val="both"/>
              <w:rPr>
                <w:sz w:val="14"/>
                <w:szCs w:val="14"/>
              </w:rPr>
            </w:pPr>
            <w:r w:rsidRPr="00D7756C">
              <w:rPr>
                <w:sz w:val="14"/>
                <w:szCs w:val="14"/>
              </w:rPr>
              <w:t xml:space="preserve">Pivac D. Tatjana, Blešić Ivana, Stamenković Igor, Besermenji V. Snežana (2011),  </w:t>
            </w:r>
            <w:r w:rsidRPr="00D7756C">
              <w:rPr>
                <w:sz w:val="14"/>
                <w:szCs w:val="14"/>
                <w:lang w:val="en-GB"/>
              </w:rPr>
              <w:t xml:space="preserve">Event management and consumer satisfaction in tourism industry, </w:t>
            </w:r>
            <w:r w:rsidRPr="00D7756C">
              <w:rPr>
                <w:sz w:val="14"/>
                <w:szCs w:val="14"/>
              </w:rPr>
              <w:t>African Journal of Business Management, Vol. 5(34), pp. 13240-13248, 28 December, 2011, DOI: 10.5897/ AJBM11.1641, ISSN: 1993-8233</w:t>
            </w:r>
            <w:r w:rsidRPr="00D7756C">
              <w:rPr>
                <w:iCs/>
                <w:color w:val="000000"/>
                <w:sz w:val="14"/>
                <w:szCs w:val="14"/>
              </w:rPr>
              <w:t xml:space="preserve">, Academic Journals. </w:t>
            </w:r>
          </w:p>
          <w:p w14:paraId="64FDD271" w14:textId="2F707179" w:rsidR="00575E8F" w:rsidRPr="00D7756C" w:rsidRDefault="00575E8F" w:rsidP="0007619C">
            <w:pPr>
              <w:rPr>
                <w:sz w:val="14"/>
                <w:szCs w:val="14"/>
              </w:rPr>
            </w:pPr>
          </w:p>
        </w:tc>
        <w:tc>
          <w:tcPr>
            <w:tcW w:w="468" w:type="pct"/>
            <w:vAlign w:val="center"/>
          </w:tcPr>
          <w:p w14:paraId="787F3414" w14:textId="61C6F2EC" w:rsidR="00575E8F" w:rsidRPr="00D7756C" w:rsidRDefault="00575E8F" w:rsidP="0007619C">
            <w:pPr>
              <w:rPr>
                <w:sz w:val="16"/>
                <w:szCs w:val="16"/>
              </w:rPr>
            </w:pPr>
            <w:r w:rsidRPr="00D7756C">
              <w:rPr>
                <w:sz w:val="16"/>
                <w:szCs w:val="16"/>
                <w:lang w:val="sr-Cyrl-CS"/>
              </w:rPr>
              <w:t>М23</w:t>
            </w:r>
          </w:p>
        </w:tc>
      </w:tr>
      <w:tr w:rsidR="00575E8F" w:rsidRPr="00D7756C" w14:paraId="4419F9EA" w14:textId="77777777" w:rsidTr="00427DA8">
        <w:trPr>
          <w:trHeight w:val="320"/>
          <w:jc w:val="center"/>
        </w:trPr>
        <w:tc>
          <w:tcPr>
            <w:tcW w:w="202" w:type="pct"/>
            <w:vAlign w:val="center"/>
          </w:tcPr>
          <w:p w14:paraId="2281F388" w14:textId="77777777" w:rsidR="00575E8F" w:rsidRPr="00D7756C" w:rsidRDefault="00575E8F" w:rsidP="0007619C">
            <w:pPr>
              <w:pStyle w:val="ListParagraph"/>
              <w:numPr>
                <w:ilvl w:val="0"/>
                <w:numId w:val="1"/>
              </w:numPr>
              <w:ind w:left="0" w:firstLine="0"/>
              <w:rPr>
                <w:sz w:val="18"/>
                <w:szCs w:val="18"/>
                <w:lang w:val="sr-Cyrl-CS"/>
              </w:rPr>
            </w:pPr>
          </w:p>
        </w:tc>
        <w:tc>
          <w:tcPr>
            <w:tcW w:w="4330" w:type="pct"/>
            <w:gridSpan w:val="9"/>
            <w:shd w:val="clear" w:color="auto" w:fill="auto"/>
          </w:tcPr>
          <w:p w14:paraId="6E6863BF" w14:textId="11F8A862" w:rsidR="00575E8F" w:rsidRPr="00D7756C" w:rsidRDefault="00575E8F" w:rsidP="0007619C">
            <w:pPr>
              <w:rPr>
                <w:sz w:val="14"/>
                <w:szCs w:val="14"/>
              </w:rPr>
            </w:pPr>
            <w:r w:rsidRPr="00D7756C">
              <w:rPr>
                <w:sz w:val="14"/>
                <w:szCs w:val="14"/>
              </w:rPr>
              <w:t xml:space="preserve">Kovaćević, M., Marković, V., Ponjiger, I., Ristić, Z., Matejević, M., Stojsavljević, R. and Stamenković, I. (2019): Evaluationg of Vegetation as a Habitat Factor in Hunting Ground Based on Satellite Images, Middle Pomeranian Scientific of the Environment Protection, Vol. 21, pp. 85-97, ISSN: 1506-218X </w:t>
            </w:r>
          </w:p>
        </w:tc>
        <w:tc>
          <w:tcPr>
            <w:tcW w:w="468" w:type="pct"/>
            <w:vAlign w:val="center"/>
          </w:tcPr>
          <w:p w14:paraId="35C79132" w14:textId="5AD3B1DD" w:rsidR="00575E8F" w:rsidRPr="00D7756C" w:rsidRDefault="00575E8F" w:rsidP="0007619C">
            <w:pPr>
              <w:rPr>
                <w:sz w:val="16"/>
                <w:szCs w:val="16"/>
                <w:lang w:val="sr-Cyrl-CS"/>
              </w:rPr>
            </w:pPr>
            <w:r w:rsidRPr="00D7756C">
              <w:rPr>
                <w:sz w:val="16"/>
                <w:szCs w:val="16"/>
                <w:lang w:val="sr-Cyrl-CS"/>
              </w:rPr>
              <w:t>М23</w:t>
            </w:r>
          </w:p>
        </w:tc>
      </w:tr>
      <w:tr w:rsidR="00575E8F" w:rsidRPr="00D7756C" w14:paraId="153948E8" w14:textId="77777777" w:rsidTr="00427DA8">
        <w:trPr>
          <w:trHeight w:val="320"/>
          <w:jc w:val="center"/>
        </w:trPr>
        <w:tc>
          <w:tcPr>
            <w:tcW w:w="202" w:type="pct"/>
            <w:vAlign w:val="center"/>
          </w:tcPr>
          <w:p w14:paraId="33955C2D" w14:textId="77777777" w:rsidR="00575E8F" w:rsidRPr="00D7756C" w:rsidRDefault="00575E8F" w:rsidP="0007619C">
            <w:pPr>
              <w:pStyle w:val="ListParagraph"/>
              <w:numPr>
                <w:ilvl w:val="0"/>
                <w:numId w:val="1"/>
              </w:numPr>
              <w:ind w:left="0" w:firstLine="0"/>
              <w:rPr>
                <w:sz w:val="18"/>
                <w:szCs w:val="18"/>
                <w:lang w:val="sr-Cyrl-CS"/>
              </w:rPr>
            </w:pPr>
          </w:p>
        </w:tc>
        <w:tc>
          <w:tcPr>
            <w:tcW w:w="4330" w:type="pct"/>
            <w:gridSpan w:val="9"/>
            <w:shd w:val="clear" w:color="auto" w:fill="auto"/>
          </w:tcPr>
          <w:p w14:paraId="03FDFFD8" w14:textId="0E713F00" w:rsidR="00575E8F" w:rsidRPr="00D7756C" w:rsidRDefault="00575E8F" w:rsidP="0007619C">
            <w:pPr>
              <w:rPr>
                <w:sz w:val="14"/>
                <w:szCs w:val="14"/>
              </w:rPr>
            </w:pPr>
            <w:r w:rsidRPr="00D7756C">
              <w:rPr>
                <w:rFonts w:eastAsia="Times New Roman"/>
                <w:bCs/>
                <w:color w:val="222222"/>
                <w:kern w:val="36"/>
                <w:sz w:val="14"/>
                <w:szCs w:val="14"/>
              </w:rPr>
              <w:t>Basarin, B., Lukić, T., Bjelajac, D., Micić, T., Stojićević, G., Stamenković, I., Đorđević, J., Đorđević, T. &amp; Matzarakis, A. (2018): Bioclimatic and climatic tourism conditions at Zlatibor Mountain, Időjárás – Quarterly Journal of the Hungarian Meteorological Service, Vol. 122, No. 3, July-September issue, pp. 321-343, Hungary, DOI:10.28974/idojaras.2018.3.6</w:t>
            </w:r>
          </w:p>
        </w:tc>
        <w:tc>
          <w:tcPr>
            <w:tcW w:w="468" w:type="pct"/>
            <w:vAlign w:val="center"/>
          </w:tcPr>
          <w:p w14:paraId="424CBE9C" w14:textId="75F3743E" w:rsidR="00575E8F" w:rsidRPr="00D7756C" w:rsidRDefault="00575E8F" w:rsidP="0007619C">
            <w:pPr>
              <w:rPr>
                <w:sz w:val="16"/>
                <w:szCs w:val="16"/>
              </w:rPr>
            </w:pPr>
            <w:r w:rsidRPr="00D7756C">
              <w:rPr>
                <w:sz w:val="16"/>
                <w:szCs w:val="16"/>
              </w:rPr>
              <w:t>M23</w:t>
            </w:r>
          </w:p>
        </w:tc>
      </w:tr>
      <w:tr w:rsidR="00F56FD7" w:rsidRPr="00D7756C" w14:paraId="1C195569" w14:textId="77777777" w:rsidTr="00427DA8">
        <w:trPr>
          <w:trHeight w:val="320"/>
          <w:jc w:val="center"/>
        </w:trPr>
        <w:tc>
          <w:tcPr>
            <w:tcW w:w="202" w:type="pct"/>
            <w:vAlign w:val="center"/>
          </w:tcPr>
          <w:p w14:paraId="526E397F"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69A08E95" w14:textId="42D80E87" w:rsidR="00F56FD7" w:rsidRPr="00D7756C" w:rsidRDefault="00F56FD7" w:rsidP="0007619C">
            <w:pPr>
              <w:rPr>
                <w:rFonts w:eastAsia="Times New Roman"/>
                <w:bCs/>
                <w:color w:val="222222"/>
                <w:kern w:val="36"/>
                <w:sz w:val="14"/>
                <w:szCs w:val="14"/>
              </w:rPr>
            </w:pPr>
            <w:r w:rsidRPr="00D7756C">
              <w:rPr>
                <w:rFonts w:eastAsia="Times New Roman"/>
                <w:bCs/>
                <w:color w:val="222222"/>
                <w:kern w:val="36"/>
                <w:sz w:val="14"/>
                <w:szCs w:val="14"/>
              </w:rPr>
              <w:t xml:space="preserve">Vanić, T., Stamenković, I., Vujko, A., Gajić, T. and Delić Jović, M. (2019): The Role of organizational justice in relationship between leader and member (LMX) in the service sector, GeoJournal of Tourism and Geosites, Year II, Vol. 27, No. 4, pp.1296-1306. </w:t>
            </w:r>
          </w:p>
        </w:tc>
        <w:tc>
          <w:tcPr>
            <w:tcW w:w="468" w:type="pct"/>
            <w:vAlign w:val="center"/>
          </w:tcPr>
          <w:p w14:paraId="4F8AD4FA" w14:textId="75B229C1" w:rsidR="00F56FD7" w:rsidRPr="00D7756C" w:rsidRDefault="00F56FD7" w:rsidP="0007619C">
            <w:pPr>
              <w:rPr>
                <w:sz w:val="16"/>
                <w:szCs w:val="16"/>
              </w:rPr>
            </w:pPr>
            <w:r w:rsidRPr="00D7756C">
              <w:rPr>
                <w:sz w:val="16"/>
                <w:szCs w:val="16"/>
              </w:rPr>
              <w:t>M23</w:t>
            </w:r>
          </w:p>
        </w:tc>
      </w:tr>
      <w:tr w:rsidR="00F56FD7" w:rsidRPr="00D7756C" w14:paraId="7D44E7F9" w14:textId="77777777" w:rsidTr="00427DA8">
        <w:trPr>
          <w:trHeight w:val="320"/>
          <w:jc w:val="center"/>
        </w:trPr>
        <w:tc>
          <w:tcPr>
            <w:tcW w:w="202" w:type="pct"/>
            <w:vAlign w:val="center"/>
          </w:tcPr>
          <w:p w14:paraId="51AEA4C7"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33F43E7C" w14:textId="443FFD8E" w:rsidR="00F56FD7" w:rsidRPr="00D7756C" w:rsidRDefault="00F56FD7" w:rsidP="0007619C">
            <w:pPr>
              <w:rPr>
                <w:sz w:val="14"/>
                <w:szCs w:val="14"/>
              </w:rPr>
            </w:pPr>
            <w:r w:rsidRPr="00D7756C">
              <w:rPr>
                <w:color w:val="232323"/>
                <w:sz w:val="14"/>
                <w:szCs w:val="14"/>
              </w:rPr>
              <w:t xml:space="preserve">Božić, S., Spasojević, B., Vujičić, M. &amp; </w:t>
            </w:r>
            <w:r w:rsidRPr="00D7756C">
              <w:rPr>
                <w:bCs/>
                <w:color w:val="232323"/>
                <w:sz w:val="14"/>
                <w:szCs w:val="14"/>
              </w:rPr>
              <w:t>Stamenković, I.</w:t>
            </w:r>
            <w:r w:rsidRPr="00D7756C">
              <w:rPr>
                <w:color w:val="232323"/>
                <w:sz w:val="14"/>
                <w:szCs w:val="14"/>
              </w:rPr>
              <w:t xml:space="preserve"> </w:t>
            </w:r>
            <w:r w:rsidRPr="00D7756C">
              <w:rPr>
                <w:color w:val="000000"/>
                <w:sz w:val="14"/>
                <w:szCs w:val="14"/>
              </w:rPr>
              <w:t>(2016): Exploring e Motives Of Religious Travel By Applying the Ahp Methode – Case Study Of Monastery Vujan (Serbia), Intenational Jounal of Religious Tourism and Pilgrimage: Vol. 4, Issue 4, Article 4.  Dublin Institute of Technology, doi:10.21427/D7QH7</w:t>
            </w:r>
          </w:p>
        </w:tc>
        <w:tc>
          <w:tcPr>
            <w:tcW w:w="468" w:type="pct"/>
            <w:vAlign w:val="center"/>
          </w:tcPr>
          <w:p w14:paraId="3C0DECDE" w14:textId="25A02BFA" w:rsidR="00F56FD7" w:rsidRPr="00D7756C" w:rsidRDefault="00F56FD7" w:rsidP="0007619C">
            <w:pPr>
              <w:rPr>
                <w:sz w:val="16"/>
                <w:szCs w:val="16"/>
                <w:lang w:val="sr-Cyrl-CS"/>
              </w:rPr>
            </w:pPr>
            <w:r w:rsidRPr="00D7756C">
              <w:rPr>
                <w:sz w:val="16"/>
                <w:szCs w:val="16"/>
              </w:rPr>
              <w:t>M24</w:t>
            </w:r>
          </w:p>
        </w:tc>
      </w:tr>
      <w:tr w:rsidR="00F56FD7" w:rsidRPr="00D7756C" w14:paraId="65373BF2" w14:textId="77777777" w:rsidTr="00427DA8">
        <w:trPr>
          <w:trHeight w:val="320"/>
          <w:jc w:val="center"/>
        </w:trPr>
        <w:tc>
          <w:tcPr>
            <w:tcW w:w="202" w:type="pct"/>
            <w:vAlign w:val="center"/>
          </w:tcPr>
          <w:p w14:paraId="578427CD"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03F7D67E" w14:textId="1C2E0344" w:rsidR="00F56FD7" w:rsidRPr="00D7756C" w:rsidRDefault="00F56FD7" w:rsidP="0007619C">
            <w:pPr>
              <w:rPr>
                <w:sz w:val="14"/>
                <w:szCs w:val="14"/>
              </w:rPr>
            </w:pPr>
            <w:r w:rsidRPr="00D7756C">
              <w:rPr>
                <w:rStyle w:val="Strong"/>
                <w:sz w:val="14"/>
                <w:szCs w:val="14"/>
              </w:rPr>
              <w:t>B</w:t>
            </w:r>
            <w:r w:rsidRPr="00D7756C">
              <w:rPr>
                <w:bCs/>
                <w:sz w:val="14"/>
                <w:szCs w:val="14"/>
              </w:rPr>
              <w:t>lešić, Ivana,</w:t>
            </w:r>
            <w:r w:rsidRPr="00D7756C">
              <w:rPr>
                <w:sz w:val="14"/>
                <w:szCs w:val="14"/>
              </w:rPr>
              <w:t xml:space="preserve"> Ivkov-Džigurski, Anđelija, Stankov, U., Stamenković, I., Bradić, M. (2011): Research of exspected and percived service quality in hotel management, Revista de turism – Journal of tourism, 11: 5, pp. 5-13, Romania, </w:t>
            </w:r>
            <w:r w:rsidRPr="00D7756C">
              <w:rPr>
                <w:rStyle w:val="Strong"/>
                <w:b w:val="0"/>
                <w:sz w:val="14"/>
                <w:szCs w:val="14"/>
              </w:rPr>
              <w:t>ISSN:  </w:t>
            </w:r>
            <w:r w:rsidRPr="00D7756C">
              <w:rPr>
                <w:sz w:val="14"/>
                <w:szCs w:val="14"/>
              </w:rPr>
              <w:t>18442994</w:t>
            </w:r>
            <w:r w:rsidRPr="00D7756C">
              <w:rPr>
                <w:iCs/>
                <w:color w:val="000000"/>
                <w:sz w:val="14"/>
                <w:szCs w:val="14"/>
                <w:lang w:val="sl-SI"/>
              </w:rPr>
              <w:t xml:space="preserve">. </w:t>
            </w:r>
          </w:p>
        </w:tc>
        <w:tc>
          <w:tcPr>
            <w:tcW w:w="468" w:type="pct"/>
            <w:vAlign w:val="center"/>
          </w:tcPr>
          <w:p w14:paraId="55EC4C48" w14:textId="4E44D7D3" w:rsidR="00F56FD7" w:rsidRPr="00D7756C" w:rsidRDefault="00F56FD7" w:rsidP="0007619C">
            <w:pPr>
              <w:rPr>
                <w:sz w:val="16"/>
                <w:szCs w:val="16"/>
                <w:lang w:val="sr-Cyrl-CS"/>
              </w:rPr>
            </w:pPr>
            <w:r w:rsidRPr="00D7756C">
              <w:rPr>
                <w:sz w:val="16"/>
                <w:szCs w:val="16"/>
              </w:rPr>
              <w:t>M24</w:t>
            </w:r>
          </w:p>
        </w:tc>
      </w:tr>
      <w:tr w:rsidR="00F56FD7" w:rsidRPr="00D7756C" w14:paraId="7EA1B8F4" w14:textId="77777777" w:rsidTr="00427DA8">
        <w:trPr>
          <w:trHeight w:val="320"/>
          <w:jc w:val="center"/>
        </w:trPr>
        <w:tc>
          <w:tcPr>
            <w:tcW w:w="202" w:type="pct"/>
            <w:vAlign w:val="center"/>
          </w:tcPr>
          <w:p w14:paraId="1303B24C"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0FDBB8FF" w14:textId="30E99EF9" w:rsidR="00F56FD7" w:rsidRPr="00D7756C" w:rsidRDefault="00F56FD7" w:rsidP="0007619C">
            <w:pPr>
              <w:rPr>
                <w:sz w:val="14"/>
                <w:szCs w:val="14"/>
              </w:rPr>
            </w:pPr>
            <w:r w:rsidRPr="00D7756C">
              <w:rPr>
                <w:rFonts w:eastAsia="Times New Roman"/>
                <w:bCs/>
                <w:color w:val="222222"/>
                <w:kern w:val="36"/>
                <w:sz w:val="14"/>
                <w:szCs w:val="14"/>
              </w:rPr>
              <w:t>Košić, K., Demirović, D., Pejanović, R., Lazar, L. &amp; Stamenković, I. (2015): Key principles of rural tourism households development strategy – Case study of Vojvodina, Economics of Agriculture, Vol. 62, Issue 4, PP. 975-987, Balkan Scientific Association of Agricultural Economists, Beograd. UDC: 338.48-44(1-22)(497.113), ISSN: 0352-3462. M24</w:t>
            </w:r>
          </w:p>
        </w:tc>
        <w:tc>
          <w:tcPr>
            <w:tcW w:w="468" w:type="pct"/>
            <w:vAlign w:val="center"/>
          </w:tcPr>
          <w:p w14:paraId="7B54C8A1" w14:textId="43917DF0" w:rsidR="00F56FD7" w:rsidRPr="00D7756C" w:rsidRDefault="00F56FD7" w:rsidP="0007619C">
            <w:pPr>
              <w:rPr>
                <w:sz w:val="16"/>
                <w:szCs w:val="16"/>
                <w:lang w:val="sr-Cyrl-CS"/>
              </w:rPr>
            </w:pPr>
            <w:r w:rsidRPr="00D7756C">
              <w:rPr>
                <w:sz w:val="16"/>
                <w:szCs w:val="16"/>
              </w:rPr>
              <w:t>M24</w:t>
            </w:r>
          </w:p>
        </w:tc>
      </w:tr>
      <w:tr w:rsidR="00F56FD7" w:rsidRPr="00D7756C" w14:paraId="226A6CCF" w14:textId="77777777" w:rsidTr="00427DA8">
        <w:trPr>
          <w:trHeight w:val="320"/>
          <w:jc w:val="center"/>
        </w:trPr>
        <w:tc>
          <w:tcPr>
            <w:tcW w:w="202" w:type="pct"/>
            <w:vAlign w:val="center"/>
          </w:tcPr>
          <w:p w14:paraId="1D415B35"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6F54CFC0" w14:textId="321C1FB9" w:rsidR="00F56FD7" w:rsidRPr="00D7756C" w:rsidRDefault="00F56FD7" w:rsidP="0007619C">
            <w:pPr>
              <w:rPr>
                <w:sz w:val="14"/>
                <w:szCs w:val="14"/>
              </w:rPr>
            </w:pPr>
            <w:r w:rsidRPr="00D7756C">
              <w:rPr>
                <w:bCs/>
                <w:color w:val="222222"/>
                <w:kern w:val="36"/>
                <w:sz w:val="14"/>
                <w:szCs w:val="14"/>
              </w:rPr>
              <w:t xml:space="preserve">Vujičić, M., Stamenković, I., Stankov, U., Kovačić, S., Vasiljević, Đ. &amp; Popov Locke, J. (2020): What will prevail within city break travel, motivation or demotivation? Case study of Novi Sad, Vojvodina, Serbia, paper acceptance letter for publication in International Scientific Journal Geographica Pannonica, Vol. 24, Issue 1., Department of Geography, Tourism and Hotel Management, Faculty of Sciences, Novi Sad. doi: 10.5937/gp24-22613, UDC: 05:91(497.1)=20, ISSN: 1820-7138 (Online).  </w:t>
            </w:r>
          </w:p>
        </w:tc>
        <w:tc>
          <w:tcPr>
            <w:tcW w:w="468" w:type="pct"/>
            <w:vAlign w:val="center"/>
          </w:tcPr>
          <w:p w14:paraId="23B2EE3D" w14:textId="73B01795" w:rsidR="00F56FD7" w:rsidRPr="00D7756C" w:rsidRDefault="00F56FD7" w:rsidP="0007619C">
            <w:pPr>
              <w:rPr>
                <w:sz w:val="16"/>
                <w:szCs w:val="16"/>
              </w:rPr>
            </w:pPr>
            <w:r w:rsidRPr="00D7756C">
              <w:rPr>
                <w:sz w:val="16"/>
                <w:szCs w:val="16"/>
                <w:lang w:val="sr-Cyrl-CS"/>
              </w:rPr>
              <w:t>М24</w:t>
            </w:r>
          </w:p>
        </w:tc>
      </w:tr>
      <w:tr w:rsidR="00F56FD7" w:rsidRPr="00D7756C" w14:paraId="11983F47" w14:textId="77777777" w:rsidTr="00427DA8">
        <w:trPr>
          <w:trHeight w:val="320"/>
          <w:jc w:val="center"/>
        </w:trPr>
        <w:tc>
          <w:tcPr>
            <w:tcW w:w="202" w:type="pct"/>
            <w:vAlign w:val="center"/>
          </w:tcPr>
          <w:p w14:paraId="67DD0216"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24A5EB5F" w14:textId="36F4E5CE" w:rsidR="00F56FD7" w:rsidRPr="00D7756C" w:rsidRDefault="00F56FD7" w:rsidP="0007619C">
            <w:pPr>
              <w:rPr>
                <w:sz w:val="14"/>
                <w:szCs w:val="14"/>
              </w:rPr>
            </w:pPr>
            <w:r w:rsidRPr="00D7756C">
              <w:rPr>
                <w:rFonts w:eastAsiaTheme="minorHAnsi"/>
                <w:sz w:val="14"/>
                <w:szCs w:val="14"/>
              </w:rPr>
              <w:t xml:space="preserve">Tatjana Pivac, Igor Stamenković, Snežana Besermenji, Ivana Blešić. (2013): </w:t>
            </w:r>
            <w:r w:rsidRPr="00D7756C">
              <w:rPr>
                <w:sz w:val="14"/>
                <w:szCs w:val="14"/>
              </w:rPr>
              <w:t>Mogu</w:t>
            </w:r>
            <w:r w:rsidRPr="00D7756C">
              <w:rPr>
                <w:sz w:val="14"/>
                <w:szCs w:val="14"/>
                <w:lang w:val="sr-Cyrl-CS"/>
              </w:rPr>
              <w:t>ć</w:t>
            </w:r>
            <w:r w:rsidRPr="00D7756C">
              <w:rPr>
                <w:sz w:val="14"/>
                <w:szCs w:val="14"/>
              </w:rPr>
              <w:t>nost</w:t>
            </w:r>
            <w:r w:rsidRPr="00D7756C">
              <w:rPr>
                <w:sz w:val="14"/>
                <w:szCs w:val="14"/>
                <w:lang w:val="sr-Cyrl-CS"/>
              </w:rPr>
              <w:t xml:space="preserve"> </w:t>
            </w:r>
            <w:r w:rsidRPr="00D7756C">
              <w:rPr>
                <w:sz w:val="14"/>
                <w:szCs w:val="14"/>
              </w:rPr>
              <w:t>povezivanja</w:t>
            </w:r>
            <w:r w:rsidRPr="00D7756C">
              <w:rPr>
                <w:sz w:val="14"/>
                <w:szCs w:val="14"/>
                <w:lang w:val="sr-Cyrl-CS"/>
              </w:rPr>
              <w:t xml:space="preserve"> </w:t>
            </w:r>
            <w:r w:rsidRPr="00D7756C">
              <w:rPr>
                <w:sz w:val="14"/>
                <w:szCs w:val="14"/>
              </w:rPr>
              <w:t>pograni</w:t>
            </w:r>
            <w:r w:rsidRPr="00D7756C">
              <w:rPr>
                <w:sz w:val="14"/>
                <w:szCs w:val="14"/>
                <w:lang w:val="sr-Cyrl-CS"/>
              </w:rPr>
              <w:t>č</w:t>
            </w:r>
            <w:r w:rsidRPr="00D7756C">
              <w:rPr>
                <w:sz w:val="14"/>
                <w:szCs w:val="14"/>
              </w:rPr>
              <w:t>nih</w:t>
            </w:r>
            <w:r w:rsidRPr="00D7756C">
              <w:rPr>
                <w:sz w:val="14"/>
                <w:szCs w:val="14"/>
                <w:lang w:val="sr-Cyrl-CS"/>
              </w:rPr>
              <w:t xml:space="preserve"> </w:t>
            </w:r>
            <w:r w:rsidRPr="00D7756C">
              <w:rPr>
                <w:sz w:val="14"/>
                <w:szCs w:val="14"/>
              </w:rPr>
              <w:t>regija</w:t>
            </w:r>
            <w:r w:rsidRPr="00D7756C">
              <w:rPr>
                <w:sz w:val="14"/>
                <w:szCs w:val="14"/>
                <w:lang w:val="sr-Cyrl-CS"/>
              </w:rPr>
              <w:t xml:space="preserve"> </w:t>
            </w:r>
            <w:r w:rsidRPr="00D7756C">
              <w:rPr>
                <w:sz w:val="14"/>
                <w:szCs w:val="14"/>
              </w:rPr>
              <w:t>Srbije</w:t>
            </w:r>
            <w:r w:rsidRPr="00D7756C">
              <w:rPr>
                <w:sz w:val="14"/>
                <w:szCs w:val="14"/>
                <w:lang w:val="sr-Cyrl-CS"/>
              </w:rPr>
              <w:t xml:space="preserve"> </w:t>
            </w:r>
            <w:r w:rsidRPr="00D7756C">
              <w:rPr>
                <w:sz w:val="14"/>
                <w:szCs w:val="14"/>
              </w:rPr>
              <w:t>i</w:t>
            </w:r>
            <w:r w:rsidRPr="00D7756C">
              <w:rPr>
                <w:sz w:val="14"/>
                <w:szCs w:val="14"/>
                <w:lang w:val="sr-Cyrl-CS"/>
              </w:rPr>
              <w:t xml:space="preserve"> </w:t>
            </w:r>
            <w:r w:rsidRPr="00D7756C">
              <w:rPr>
                <w:sz w:val="14"/>
                <w:szCs w:val="14"/>
              </w:rPr>
              <w:t>Hrvatske</w:t>
            </w:r>
            <w:r w:rsidRPr="00D7756C">
              <w:rPr>
                <w:sz w:val="14"/>
                <w:szCs w:val="14"/>
                <w:lang w:val="sr-Cyrl-CS"/>
              </w:rPr>
              <w:t xml:space="preserve"> </w:t>
            </w:r>
            <w:r w:rsidRPr="00D7756C">
              <w:rPr>
                <w:sz w:val="14"/>
                <w:szCs w:val="14"/>
              </w:rPr>
              <w:t>na</w:t>
            </w:r>
            <w:r w:rsidRPr="00D7756C">
              <w:rPr>
                <w:sz w:val="14"/>
                <w:szCs w:val="14"/>
                <w:lang w:val="sr-Cyrl-CS"/>
              </w:rPr>
              <w:t xml:space="preserve"> </w:t>
            </w:r>
            <w:r w:rsidRPr="00D7756C">
              <w:rPr>
                <w:sz w:val="14"/>
                <w:szCs w:val="14"/>
              </w:rPr>
              <w:t>primeru</w:t>
            </w:r>
            <w:r w:rsidRPr="00D7756C">
              <w:rPr>
                <w:sz w:val="14"/>
                <w:szCs w:val="14"/>
                <w:lang w:val="sr-Cyrl-CS"/>
              </w:rPr>
              <w:t xml:space="preserve"> </w:t>
            </w:r>
            <w:r w:rsidRPr="00D7756C">
              <w:rPr>
                <w:sz w:val="14"/>
                <w:szCs w:val="14"/>
              </w:rPr>
              <w:t>razvoja</w:t>
            </w:r>
            <w:r w:rsidRPr="00D7756C">
              <w:rPr>
                <w:sz w:val="14"/>
                <w:szCs w:val="14"/>
                <w:lang w:val="sr-Cyrl-CS"/>
              </w:rPr>
              <w:t xml:space="preserve"> </w:t>
            </w:r>
            <w:r w:rsidRPr="00D7756C">
              <w:rPr>
                <w:sz w:val="14"/>
                <w:szCs w:val="14"/>
              </w:rPr>
              <w:t>vinskog</w:t>
            </w:r>
            <w:r w:rsidRPr="00D7756C">
              <w:rPr>
                <w:sz w:val="14"/>
                <w:szCs w:val="14"/>
                <w:lang w:val="sr-Cyrl-CS"/>
              </w:rPr>
              <w:t xml:space="preserve"> </w:t>
            </w:r>
            <w:r w:rsidRPr="00D7756C">
              <w:rPr>
                <w:sz w:val="14"/>
                <w:szCs w:val="14"/>
              </w:rPr>
              <w:t>turizma</w:t>
            </w:r>
            <w:r w:rsidRPr="00D7756C">
              <w:rPr>
                <w:sz w:val="14"/>
                <w:szCs w:val="14"/>
                <w:lang w:val="sr-Cyrl-CS"/>
              </w:rPr>
              <w:t xml:space="preserve"> </w:t>
            </w:r>
            <w:r w:rsidRPr="00D7756C">
              <w:rPr>
                <w:sz w:val="14"/>
                <w:szCs w:val="14"/>
              </w:rPr>
              <w:t>grada</w:t>
            </w:r>
            <w:r w:rsidRPr="00D7756C">
              <w:rPr>
                <w:sz w:val="14"/>
                <w:szCs w:val="14"/>
                <w:lang w:val="sr-Cyrl-CS"/>
              </w:rPr>
              <w:t xml:space="preserve"> </w:t>
            </w:r>
            <w:r w:rsidRPr="00D7756C">
              <w:rPr>
                <w:sz w:val="14"/>
                <w:szCs w:val="14"/>
              </w:rPr>
              <w:t>Iloka</w:t>
            </w:r>
            <w:r w:rsidRPr="00D7756C">
              <w:rPr>
                <w:rFonts w:eastAsiaTheme="minorHAnsi"/>
                <w:sz w:val="14"/>
                <w:szCs w:val="14"/>
              </w:rPr>
              <w:t xml:space="preserve">, Tematski zbornik: </w:t>
            </w:r>
            <w:r w:rsidRPr="00D7756C">
              <w:rPr>
                <w:rFonts w:eastAsia="Cambria-Italic"/>
                <w:iCs/>
                <w:sz w:val="14"/>
                <w:szCs w:val="14"/>
              </w:rPr>
              <w:t xml:space="preserve">Društveni odnosi Srba i Hrvata, nacionalni identitet i manjinska prava sa aspekta evropskih integracija, Knjiga 2, </w:t>
            </w:r>
            <w:r w:rsidRPr="00D7756C">
              <w:rPr>
                <w:rFonts w:eastAsiaTheme="minorHAnsi"/>
                <w:sz w:val="14"/>
                <w:szCs w:val="14"/>
              </w:rPr>
              <w:t>Pedagoški fakultet u Somboru, pp. 169-195, ISBN: 978-86-6095-027-9, UDK: 323.1(=163.41/=163.42)-029:088(082)</w:t>
            </w:r>
          </w:p>
        </w:tc>
        <w:tc>
          <w:tcPr>
            <w:tcW w:w="468" w:type="pct"/>
            <w:vAlign w:val="center"/>
          </w:tcPr>
          <w:p w14:paraId="0C436C23" w14:textId="3547FA2E" w:rsidR="00F56FD7" w:rsidRPr="00D7756C" w:rsidRDefault="00F56FD7" w:rsidP="0007619C">
            <w:pPr>
              <w:rPr>
                <w:sz w:val="16"/>
                <w:szCs w:val="16"/>
                <w:lang w:val="sr-Cyrl-CS"/>
              </w:rPr>
            </w:pPr>
            <w:r w:rsidRPr="00D7756C">
              <w:rPr>
                <w:sz w:val="16"/>
                <w:szCs w:val="16"/>
                <w:lang w:val="sr-Cyrl-CS"/>
              </w:rPr>
              <w:t>M45</w:t>
            </w:r>
          </w:p>
        </w:tc>
      </w:tr>
      <w:tr w:rsidR="00F56FD7" w:rsidRPr="00D7756C" w14:paraId="16078BD6" w14:textId="77777777" w:rsidTr="00427DA8">
        <w:trPr>
          <w:trHeight w:val="320"/>
          <w:jc w:val="center"/>
        </w:trPr>
        <w:tc>
          <w:tcPr>
            <w:tcW w:w="202" w:type="pct"/>
            <w:vAlign w:val="center"/>
          </w:tcPr>
          <w:p w14:paraId="18C041FD"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43E57836" w14:textId="77777777" w:rsidR="00F56FD7" w:rsidRPr="00D7756C" w:rsidRDefault="00F56FD7" w:rsidP="0007619C">
            <w:pPr>
              <w:shd w:val="clear" w:color="auto" w:fill="FFFFFF"/>
              <w:jc w:val="both"/>
              <w:rPr>
                <w:sz w:val="14"/>
                <w:szCs w:val="14"/>
              </w:rPr>
            </w:pPr>
            <w:r w:rsidRPr="00D7756C">
              <w:rPr>
                <w:sz w:val="14"/>
                <w:szCs w:val="14"/>
                <w:lang w:val="sl-SI"/>
              </w:rPr>
              <w:t xml:space="preserve">Blešić Ivana, Pivac D.Tatjana, Besermenji V.Snežana, Stamenković Igor (2011): Da li muzički festivali mogu biti povod i model za zbližavanje zaraćenih naroda na prostoru Ex-jugoslovenskih Republika (Primer: Sabor trubača u Guči)?, Tematski zbornik: Društveni odnosi Srba i Hrvata, nacionalni identitet i manjinska prava sa aspekta evropskih integracija, Sombor, Pedagoški fakultet, Simbol, Novi Sad, 230 strana, str.163-175, ISBN: 978-86-6095-006-4. </w:t>
            </w:r>
          </w:p>
          <w:p w14:paraId="22B04D6B" w14:textId="6C20DDAF" w:rsidR="00F56FD7" w:rsidRPr="00D7756C" w:rsidRDefault="00F56FD7" w:rsidP="0007619C">
            <w:pPr>
              <w:rPr>
                <w:sz w:val="14"/>
                <w:szCs w:val="14"/>
              </w:rPr>
            </w:pPr>
          </w:p>
        </w:tc>
        <w:tc>
          <w:tcPr>
            <w:tcW w:w="468" w:type="pct"/>
            <w:vAlign w:val="center"/>
          </w:tcPr>
          <w:p w14:paraId="6096D8C9" w14:textId="5DD0EBD1" w:rsidR="00F56FD7" w:rsidRPr="00D7756C" w:rsidRDefault="00F56FD7" w:rsidP="0007619C">
            <w:pPr>
              <w:rPr>
                <w:sz w:val="16"/>
                <w:szCs w:val="16"/>
                <w:lang w:val="sr-Cyrl-CS"/>
              </w:rPr>
            </w:pPr>
            <w:r w:rsidRPr="00D7756C">
              <w:rPr>
                <w:sz w:val="16"/>
                <w:szCs w:val="16"/>
                <w:lang w:val="sr-Cyrl-CS"/>
              </w:rPr>
              <w:t>M45</w:t>
            </w:r>
          </w:p>
        </w:tc>
      </w:tr>
      <w:tr w:rsidR="00F56FD7" w:rsidRPr="00D7756C" w14:paraId="167ED326" w14:textId="77777777" w:rsidTr="00427DA8">
        <w:trPr>
          <w:trHeight w:val="320"/>
          <w:jc w:val="center"/>
        </w:trPr>
        <w:tc>
          <w:tcPr>
            <w:tcW w:w="202" w:type="pct"/>
            <w:vAlign w:val="center"/>
          </w:tcPr>
          <w:p w14:paraId="3A8C4B09"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33277E3F" w14:textId="66C2A165" w:rsidR="00F56FD7" w:rsidRPr="00D7756C" w:rsidRDefault="00F56FD7" w:rsidP="0007619C">
            <w:pPr>
              <w:rPr>
                <w:sz w:val="14"/>
                <w:szCs w:val="14"/>
              </w:rPr>
            </w:pPr>
            <w:r w:rsidRPr="00D7756C">
              <w:rPr>
                <w:color w:val="232323"/>
                <w:sz w:val="14"/>
                <w:szCs w:val="14"/>
              </w:rPr>
              <w:t xml:space="preserve">Stamenković, I. (2019): </w:t>
            </w:r>
            <w:r w:rsidRPr="00D7756C">
              <w:rPr>
                <w:i/>
                <w:iCs/>
                <w:color w:val="232323"/>
                <w:sz w:val="14"/>
                <w:szCs w:val="14"/>
              </w:rPr>
              <w:t>Hram Svetog Save na bregu kao putokaz vere i ljubavi, kao destinacija hodočašća i religijskog turizma Srbije</w:t>
            </w:r>
            <w:r w:rsidRPr="00D7756C">
              <w:rPr>
                <w:color w:val="232323"/>
                <w:sz w:val="14"/>
                <w:szCs w:val="14"/>
              </w:rPr>
              <w:t>, Kultura Polisa – časopis za negovanje demokratske političke kulture, posebno izdanje god. XVI, str. 191-213, Udruženje za političke nauke SCG ogranak u Novom Sadu, UDK: 27-523.4/.6:27-54, ISSN: 1820-4589.</w:t>
            </w:r>
          </w:p>
        </w:tc>
        <w:tc>
          <w:tcPr>
            <w:tcW w:w="468" w:type="pct"/>
            <w:vAlign w:val="center"/>
          </w:tcPr>
          <w:p w14:paraId="0D2318E5" w14:textId="1E189D46" w:rsidR="00F56FD7" w:rsidRPr="00D7756C" w:rsidRDefault="00F56FD7" w:rsidP="0007619C">
            <w:pPr>
              <w:rPr>
                <w:sz w:val="16"/>
                <w:szCs w:val="16"/>
                <w:lang w:val="sr-Cyrl-CS"/>
              </w:rPr>
            </w:pPr>
            <w:r w:rsidRPr="00D7756C">
              <w:rPr>
                <w:sz w:val="16"/>
                <w:szCs w:val="16"/>
                <w:lang w:val="sr-Cyrl-CS"/>
              </w:rPr>
              <w:t>M51</w:t>
            </w:r>
          </w:p>
        </w:tc>
      </w:tr>
      <w:tr w:rsidR="00F56FD7" w:rsidRPr="00D7756C" w14:paraId="33118601" w14:textId="77777777" w:rsidTr="00427DA8">
        <w:trPr>
          <w:trHeight w:val="320"/>
          <w:jc w:val="center"/>
        </w:trPr>
        <w:tc>
          <w:tcPr>
            <w:tcW w:w="202" w:type="pct"/>
            <w:vAlign w:val="center"/>
          </w:tcPr>
          <w:p w14:paraId="1A7716FF"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65BA0555" w14:textId="56738E5F" w:rsidR="00F56FD7" w:rsidRPr="00D7756C" w:rsidRDefault="00F56FD7" w:rsidP="0007619C">
            <w:pPr>
              <w:rPr>
                <w:sz w:val="14"/>
                <w:szCs w:val="14"/>
              </w:rPr>
            </w:pPr>
            <w:r w:rsidRPr="00D7756C">
              <w:rPr>
                <w:color w:val="232323"/>
                <w:sz w:val="14"/>
                <w:szCs w:val="14"/>
              </w:rPr>
              <w:t xml:space="preserve">Garača, V., Vukosav, S., </w:t>
            </w:r>
            <w:r w:rsidRPr="00D7756C">
              <w:rPr>
                <w:bCs/>
                <w:color w:val="232323"/>
                <w:sz w:val="14"/>
                <w:szCs w:val="14"/>
              </w:rPr>
              <w:t>Stamenković, I.,</w:t>
            </w:r>
            <w:r w:rsidRPr="00D7756C">
              <w:rPr>
                <w:color w:val="232323"/>
                <w:sz w:val="14"/>
                <w:szCs w:val="14"/>
              </w:rPr>
              <w:t xml:space="preserve"> &amp; Bradić, M. (2019): </w:t>
            </w:r>
            <w:r w:rsidRPr="00D7756C">
              <w:rPr>
                <w:i/>
                <w:iCs/>
                <w:color w:val="232323"/>
                <w:sz w:val="14"/>
                <w:szCs w:val="14"/>
              </w:rPr>
              <w:t>Modeling of tourism region: case study of Novi Sad gravitational zone</w:t>
            </w:r>
            <w:r w:rsidRPr="00D7756C">
              <w:rPr>
                <w:color w:val="232323"/>
                <w:sz w:val="14"/>
                <w:szCs w:val="14"/>
              </w:rPr>
              <w:t xml:space="preserve">, paper acceptance letter for publication in Intenational Scientific Jounal Turizam, Vol. 23, Issue 4, Faculty of Sciences, Novi Sad. </w:t>
            </w:r>
            <w:r w:rsidRPr="00D7756C">
              <w:rPr>
                <w:color w:val="191915"/>
                <w:sz w:val="14"/>
                <w:szCs w:val="14"/>
              </w:rPr>
              <w:t>UDC: 338.48, ISSN 1821-1127 (Online).</w:t>
            </w:r>
          </w:p>
        </w:tc>
        <w:tc>
          <w:tcPr>
            <w:tcW w:w="468" w:type="pct"/>
            <w:vAlign w:val="center"/>
          </w:tcPr>
          <w:p w14:paraId="2C6B7FC5" w14:textId="1D32D9F2" w:rsidR="00F56FD7" w:rsidRPr="00D7756C" w:rsidRDefault="00F56FD7" w:rsidP="0007619C">
            <w:pPr>
              <w:rPr>
                <w:sz w:val="16"/>
                <w:szCs w:val="16"/>
              </w:rPr>
            </w:pPr>
            <w:r w:rsidRPr="00D7756C">
              <w:rPr>
                <w:sz w:val="16"/>
                <w:szCs w:val="16"/>
                <w:lang w:val="sr-Cyrl-CS"/>
              </w:rPr>
              <w:t>M51</w:t>
            </w:r>
          </w:p>
        </w:tc>
      </w:tr>
      <w:tr w:rsidR="00F56FD7" w:rsidRPr="00D7756C" w14:paraId="125DDEB4" w14:textId="77777777" w:rsidTr="00427DA8">
        <w:trPr>
          <w:trHeight w:val="320"/>
          <w:jc w:val="center"/>
        </w:trPr>
        <w:tc>
          <w:tcPr>
            <w:tcW w:w="202" w:type="pct"/>
            <w:vAlign w:val="center"/>
          </w:tcPr>
          <w:p w14:paraId="2AC93534"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040AC9A3" w14:textId="42DFD9A7" w:rsidR="00F56FD7" w:rsidRPr="00D7756C" w:rsidRDefault="00F56FD7" w:rsidP="0007619C">
            <w:pPr>
              <w:rPr>
                <w:color w:val="232323"/>
                <w:sz w:val="14"/>
                <w:szCs w:val="14"/>
              </w:rPr>
            </w:pPr>
            <w:r w:rsidRPr="00D7756C">
              <w:rPr>
                <w:sz w:val="14"/>
                <w:szCs w:val="14"/>
              </w:rPr>
              <w:t>Blešić Ivana, Pivac Tatjana, Stamenković Igor, Besermenji Snežana (2013): Motives of Visits to Ethno Music Festivals With Regards to Gender and Age Structure of Visitors, Event Management – An International Journal, Vol.17, No.2, pp. 145-154(10), ISSN: 1525-9951, E-ISSN: 1943-4308“</w:t>
            </w:r>
          </w:p>
        </w:tc>
        <w:tc>
          <w:tcPr>
            <w:tcW w:w="468" w:type="pct"/>
            <w:vAlign w:val="center"/>
          </w:tcPr>
          <w:p w14:paraId="2CE6191B" w14:textId="20ADB31D" w:rsidR="00F56FD7" w:rsidRPr="00D7756C" w:rsidRDefault="00F56FD7" w:rsidP="0007619C">
            <w:pPr>
              <w:rPr>
                <w:sz w:val="16"/>
                <w:szCs w:val="16"/>
              </w:rPr>
            </w:pPr>
            <w:r w:rsidRPr="00D7756C">
              <w:rPr>
                <w:sz w:val="16"/>
                <w:szCs w:val="16"/>
                <w:lang w:val="sr-Cyrl-CS"/>
              </w:rPr>
              <w:t>M53</w:t>
            </w:r>
          </w:p>
        </w:tc>
      </w:tr>
      <w:tr w:rsidR="00F56FD7" w:rsidRPr="00D7756C" w14:paraId="2A71B490" w14:textId="77777777" w:rsidTr="00427DA8">
        <w:trPr>
          <w:trHeight w:val="320"/>
          <w:jc w:val="center"/>
        </w:trPr>
        <w:tc>
          <w:tcPr>
            <w:tcW w:w="202" w:type="pct"/>
            <w:vAlign w:val="center"/>
          </w:tcPr>
          <w:p w14:paraId="24F347BA"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24137C05" w14:textId="42BD1209" w:rsidR="00F56FD7" w:rsidRPr="00D7756C" w:rsidRDefault="00F56FD7" w:rsidP="0007619C">
            <w:pPr>
              <w:rPr>
                <w:color w:val="232323"/>
                <w:sz w:val="14"/>
                <w:szCs w:val="14"/>
              </w:rPr>
            </w:pPr>
            <w:r w:rsidRPr="00D7756C">
              <w:rPr>
                <w:sz w:val="14"/>
                <w:szCs w:val="14"/>
                <w:lang w:val="sr-Cyrl-CS"/>
              </w:rPr>
              <w:t>Стаменковић</w:t>
            </w:r>
            <w:r w:rsidRPr="00D7756C">
              <w:rPr>
                <w:sz w:val="14"/>
                <w:szCs w:val="14"/>
              </w:rPr>
              <w:t>, И.,</w:t>
            </w:r>
            <w:r w:rsidRPr="00D7756C">
              <w:rPr>
                <w:sz w:val="14"/>
                <w:szCs w:val="14"/>
                <w:lang w:val="sr-Cyrl-CS"/>
              </w:rPr>
              <w:t xml:space="preserve"> 2014. Мулти-стејкхолдерски приступ ефективности организације догађаја као фактор успешности дестинацијског туристичког производа, Департман за географију, туризам и хотелијерство, ПМФ, Нови Сад.</w:t>
            </w:r>
          </w:p>
        </w:tc>
        <w:tc>
          <w:tcPr>
            <w:tcW w:w="468" w:type="pct"/>
            <w:vAlign w:val="center"/>
          </w:tcPr>
          <w:p w14:paraId="1A89904E" w14:textId="6A69CD71" w:rsidR="00F56FD7" w:rsidRPr="00D7756C" w:rsidRDefault="00F56FD7" w:rsidP="0007619C">
            <w:pPr>
              <w:rPr>
                <w:sz w:val="16"/>
                <w:szCs w:val="16"/>
              </w:rPr>
            </w:pPr>
            <w:r w:rsidRPr="00D7756C">
              <w:rPr>
                <w:sz w:val="16"/>
                <w:szCs w:val="16"/>
                <w:lang w:val="sr-Cyrl-CS"/>
              </w:rPr>
              <w:t>M71</w:t>
            </w:r>
          </w:p>
        </w:tc>
      </w:tr>
      <w:tr w:rsidR="00F56FD7" w:rsidRPr="00D7756C" w14:paraId="11F2DA6B" w14:textId="77777777" w:rsidTr="00427DA8">
        <w:trPr>
          <w:trHeight w:val="320"/>
          <w:jc w:val="center"/>
        </w:trPr>
        <w:tc>
          <w:tcPr>
            <w:tcW w:w="202" w:type="pct"/>
            <w:vAlign w:val="center"/>
          </w:tcPr>
          <w:p w14:paraId="77BB5BEF"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69C2C68C" w14:textId="286D5DDF" w:rsidR="00F56FD7" w:rsidRPr="00D7756C" w:rsidRDefault="00F56FD7" w:rsidP="0007619C">
            <w:pPr>
              <w:rPr>
                <w:color w:val="232323"/>
                <w:sz w:val="14"/>
                <w:szCs w:val="14"/>
              </w:rPr>
            </w:pPr>
            <w:r w:rsidRPr="00D7756C">
              <w:rPr>
                <w:sz w:val="14"/>
                <w:szCs w:val="14"/>
                <w:lang w:val="sr-Cyrl-CS"/>
              </w:rPr>
              <w:t>Стаменковић, И</w:t>
            </w:r>
            <w:r w:rsidRPr="00D7756C">
              <w:rPr>
                <w:sz w:val="14"/>
                <w:szCs w:val="14"/>
              </w:rPr>
              <w:t>.</w:t>
            </w:r>
            <w:r w:rsidRPr="00D7756C">
              <w:rPr>
                <w:sz w:val="14"/>
                <w:szCs w:val="14"/>
                <w:lang w:val="sl-SI"/>
              </w:rPr>
              <w:t>,</w:t>
            </w:r>
            <w:r w:rsidRPr="00D7756C">
              <w:rPr>
                <w:sz w:val="14"/>
                <w:szCs w:val="14"/>
                <w:lang w:val="sr-Cyrl-CS"/>
              </w:rPr>
              <w:t xml:space="preserve"> 2006</w:t>
            </w:r>
            <w:r w:rsidRPr="00D7756C">
              <w:rPr>
                <w:sz w:val="14"/>
                <w:szCs w:val="14"/>
              </w:rPr>
              <w:t>.</w:t>
            </w:r>
            <w:r w:rsidRPr="00D7756C">
              <w:rPr>
                <w:sz w:val="14"/>
                <w:szCs w:val="14"/>
                <w:lang w:val="sr-Cyrl-CS"/>
              </w:rPr>
              <w:t xml:space="preserve"> Религиозни туризам и православље, Уџбеник, Департман за географију, туризам и хотелијерство, Природно-математички факултет, Нови Сад</w:t>
            </w:r>
            <w:r w:rsidRPr="00D7756C">
              <w:rPr>
                <w:sz w:val="14"/>
                <w:szCs w:val="14"/>
              </w:rPr>
              <w:t>, 132</w:t>
            </w:r>
            <w:r w:rsidRPr="00D7756C">
              <w:rPr>
                <w:sz w:val="14"/>
                <w:szCs w:val="14"/>
                <w:lang w:val="sr-Cyrl-CS"/>
              </w:rPr>
              <w:t>.</w:t>
            </w:r>
          </w:p>
        </w:tc>
        <w:tc>
          <w:tcPr>
            <w:tcW w:w="468" w:type="pct"/>
            <w:vAlign w:val="center"/>
          </w:tcPr>
          <w:p w14:paraId="7047EA42" w14:textId="77777777" w:rsidR="00F56FD7" w:rsidRPr="00D7756C" w:rsidRDefault="00F56FD7" w:rsidP="0007619C">
            <w:pPr>
              <w:rPr>
                <w:sz w:val="16"/>
                <w:szCs w:val="16"/>
              </w:rPr>
            </w:pPr>
          </w:p>
        </w:tc>
      </w:tr>
      <w:tr w:rsidR="00F56FD7" w:rsidRPr="00D7756C" w14:paraId="1C51D2F1" w14:textId="77777777" w:rsidTr="00427DA8">
        <w:trPr>
          <w:trHeight w:val="320"/>
          <w:jc w:val="center"/>
        </w:trPr>
        <w:tc>
          <w:tcPr>
            <w:tcW w:w="202" w:type="pct"/>
            <w:vAlign w:val="center"/>
          </w:tcPr>
          <w:p w14:paraId="15F9CD93" w14:textId="77777777" w:rsidR="00F56FD7" w:rsidRPr="00D7756C" w:rsidRDefault="00F56FD7" w:rsidP="0007619C">
            <w:pPr>
              <w:pStyle w:val="ListParagraph"/>
              <w:numPr>
                <w:ilvl w:val="0"/>
                <w:numId w:val="1"/>
              </w:numPr>
              <w:ind w:left="0" w:firstLine="0"/>
              <w:rPr>
                <w:sz w:val="18"/>
                <w:szCs w:val="18"/>
                <w:lang w:val="sr-Cyrl-CS"/>
              </w:rPr>
            </w:pPr>
          </w:p>
        </w:tc>
        <w:tc>
          <w:tcPr>
            <w:tcW w:w="4330" w:type="pct"/>
            <w:gridSpan w:val="9"/>
            <w:shd w:val="clear" w:color="auto" w:fill="auto"/>
          </w:tcPr>
          <w:p w14:paraId="2B502D70" w14:textId="06B6EBD6" w:rsidR="00F56FD7" w:rsidRPr="00D7756C" w:rsidRDefault="00F56FD7" w:rsidP="0007619C">
            <w:pPr>
              <w:rPr>
                <w:color w:val="232323"/>
                <w:sz w:val="14"/>
                <w:szCs w:val="14"/>
              </w:rPr>
            </w:pPr>
            <w:r w:rsidRPr="00D7756C">
              <w:rPr>
                <w:color w:val="232323"/>
                <w:sz w:val="14"/>
                <w:szCs w:val="14"/>
              </w:rPr>
              <w:t>Kovačević, M, Stamenković, I. (2019): Algoritam za upravljanje događajima, Udžbenik, Departman za geografiju, turizam i hotelijerstvo, PMF, Novi Sad.</w:t>
            </w:r>
          </w:p>
        </w:tc>
        <w:tc>
          <w:tcPr>
            <w:tcW w:w="468" w:type="pct"/>
            <w:vAlign w:val="center"/>
          </w:tcPr>
          <w:p w14:paraId="3DEBDB88" w14:textId="77777777" w:rsidR="00F56FD7" w:rsidRPr="00D7756C" w:rsidRDefault="00F56FD7" w:rsidP="0007619C">
            <w:pPr>
              <w:rPr>
                <w:sz w:val="16"/>
                <w:szCs w:val="16"/>
              </w:rPr>
            </w:pPr>
          </w:p>
        </w:tc>
      </w:tr>
      <w:tr w:rsidR="00F56FD7" w:rsidRPr="00D7756C" w14:paraId="5CA69348" w14:textId="77777777" w:rsidTr="00AF2079">
        <w:trPr>
          <w:trHeight w:val="320"/>
          <w:jc w:val="center"/>
        </w:trPr>
        <w:tc>
          <w:tcPr>
            <w:tcW w:w="5000" w:type="pct"/>
            <w:gridSpan w:val="11"/>
            <w:vAlign w:val="center"/>
          </w:tcPr>
          <w:p w14:paraId="424E9B3F" w14:textId="77777777" w:rsidR="00F56FD7" w:rsidRPr="00D7756C" w:rsidRDefault="00F56FD7" w:rsidP="0007619C">
            <w:pPr>
              <w:rPr>
                <w:sz w:val="18"/>
                <w:szCs w:val="18"/>
                <w:lang w:val="sr-Cyrl-CS"/>
              </w:rPr>
            </w:pPr>
            <w:r w:rsidRPr="00D7756C">
              <w:rPr>
                <w:b/>
                <w:sz w:val="18"/>
                <w:szCs w:val="18"/>
                <w:lang w:val="sr-Cyrl-CS"/>
              </w:rPr>
              <w:t>Збирни подаци научне активност наставника</w:t>
            </w:r>
          </w:p>
        </w:tc>
      </w:tr>
      <w:tr w:rsidR="00F56FD7" w:rsidRPr="00D7756C" w14:paraId="1E329ADF" w14:textId="77777777" w:rsidTr="00427DA8">
        <w:trPr>
          <w:trHeight w:val="320"/>
          <w:jc w:val="center"/>
        </w:trPr>
        <w:tc>
          <w:tcPr>
            <w:tcW w:w="2129" w:type="pct"/>
            <w:gridSpan w:val="6"/>
            <w:vAlign w:val="center"/>
          </w:tcPr>
          <w:p w14:paraId="7D6D115C" w14:textId="77777777" w:rsidR="00F56FD7" w:rsidRPr="00D7756C" w:rsidRDefault="00F56FD7" w:rsidP="0007619C">
            <w:pPr>
              <w:rPr>
                <w:sz w:val="18"/>
                <w:szCs w:val="18"/>
                <w:lang w:val="sr-Cyrl-CS"/>
              </w:rPr>
            </w:pPr>
            <w:r w:rsidRPr="00D7756C">
              <w:rPr>
                <w:sz w:val="18"/>
                <w:szCs w:val="18"/>
                <w:lang w:val="sr-Cyrl-CS"/>
              </w:rPr>
              <w:t>Укупан број цитата, без аутоцитата</w:t>
            </w:r>
          </w:p>
        </w:tc>
        <w:tc>
          <w:tcPr>
            <w:tcW w:w="2871" w:type="pct"/>
            <w:gridSpan w:val="5"/>
            <w:vAlign w:val="center"/>
          </w:tcPr>
          <w:p w14:paraId="5C3FFF51" w14:textId="1FB00468" w:rsidR="00F56FD7" w:rsidRPr="00D7756C" w:rsidRDefault="002B0516" w:rsidP="0007619C">
            <w:pPr>
              <w:rPr>
                <w:sz w:val="18"/>
                <w:szCs w:val="18"/>
                <w:lang w:val="sr-Cyrl-CS"/>
              </w:rPr>
            </w:pPr>
            <w:r w:rsidRPr="00D7756C">
              <w:rPr>
                <w:sz w:val="18"/>
                <w:szCs w:val="18"/>
                <w:lang w:val="sr-Cyrl-CS"/>
              </w:rPr>
              <w:t>35</w:t>
            </w:r>
          </w:p>
        </w:tc>
      </w:tr>
      <w:tr w:rsidR="00F56FD7" w:rsidRPr="00D7756C" w14:paraId="54F4EE54" w14:textId="77777777" w:rsidTr="00427DA8">
        <w:trPr>
          <w:trHeight w:val="320"/>
          <w:jc w:val="center"/>
        </w:trPr>
        <w:tc>
          <w:tcPr>
            <w:tcW w:w="2129" w:type="pct"/>
            <w:gridSpan w:val="6"/>
            <w:vAlign w:val="center"/>
          </w:tcPr>
          <w:p w14:paraId="166C2BB0" w14:textId="77777777" w:rsidR="00F56FD7" w:rsidRPr="00D7756C" w:rsidRDefault="00F56FD7" w:rsidP="0007619C">
            <w:pPr>
              <w:rPr>
                <w:sz w:val="18"/>
                <w:szCs w:val="18"/>
                <w:lang w:val="sr-Cyrl-CS"/>
              </w:rPr>
            </w:pPr>
            <w:r w:rsidRPr="00D7756C">
              <w:rPr>
                <w:sz w:val="18"/>
                <w:szCs w:val="18"/>
                <w:lang w:val="sr-Cyrl-CS"/>
              </w:rPr>
              <w:t>Укупан број радова са SCI (или SSCI) листе</w:t>
            </w:r>
          </w:p>
        </w:tc>
        <w:tc>
          <w:tcPr>
            <w:tcW w:w="2871" w:type="pct"/>
            <w:gridSpan w:val="5"/>
            <w:vAlign w:val="center"/>
          </w:tcPr>
          <w:p w14:paraId="4ED4CE23" w14:textId="3ADEDE09" w:rsidR="00F56FD7" w:rsidRPr="00D7756C" w:rsidRDefault="00F56FD7" w:rsidP="0007619C">
            <w:pPr>
              <w:rPr>
                <w:sz w:val="18"/>
                <w:szCs w:val="18"/>
                <w:lang w:val="sr-Cyrl-CS"/>
              </w:rPr>
            </w:pPr>
            <w:r w:rsidRPr="00D7756C">
              <w:rPr>
                <w:sz w:val="18"/>
                <w:szCs w:val="18"/>
                <w:lang w:val="sr-Cyrl-CS"/>
              </w:rPr>
              <w:t>6</w:t>
            </w:r>
          </w:p>
        </w:tc>
      </w:tr>
      <w:tr w:rsidR="00F56FD7" w:rsidRPr="00D7756C" w14:paraId="5D23AC85" w14:textId="77777777" w:rsidTr="00427DA8">
        <w:trPr>
          <w:trHeight w:val="320"/>
          <w:jc w:val="center"/>
        </w:trPr>
        <w:tc>
          <w:tcPr>
            <w:tcW w:w="2129" w:type="pct"/>
            <w:gridSpan w:val="6"/>
            <w:vAlign w:val="center"/>
          </w:tcPr>
          <w:p w14:paraId="5367EFA5" w14:textId="77777777" w:rsidR="00F56FD7" w:rsidRPr="00D7756C" w:rsidRDefault="00F56FD7" w:rsidP="0007619C">
            <w:pPr>
              <w:rPr>
                <w:sz w:val="18"/>
                <w:szCs w:val="18"/>
                <w:lang w:val="sr-Cyrl-CS"/>
              </w:rPr>
            </w:pPr>
            <w:r w:rsidRPr="00D7756C">
              <w:rPr>
                <w:sz w:val="18"/>
                <w:szCs w:val="18"/>
                <w:lang w:val="sr-Cyrl-CS"/>
              </w:rPr>
              <w:t>Тренутно учешће на пројектима</w:t>
            </w:r>
          </w:p>
        </w:tc>
        <w:tc>
          <w:tcPr>
            <w:tcW w:w="1719" w:type="pct"/>
            <w:gridSpan w:val="2"/>
            <w:vAlign w:val="center"/>
          </w:tcPr>
          <w:p w14:paraId="556172B1" w14:textId="15636229" w:rsidR="00F56FD7" w:rsidRPr="00D7756C" w:rsidRDefault="00F56FD7" w:rsidP="0007619C">
            <w:pPr>
              <w:rPr>
                <w:sz w:val="18"/>
                <w:szCs w:val="18"/>
                <w:lang w:val="sr-Cyrl-CS"/>
              </w:rPr>
            </w:pPr>
            <w:r w:rsidRPr="00D7756C">
              <w:rPr>
                <w:sz w:val="18"/>
                <w:szCs w:val="18"/>
                <w:lang w:val="sr-Cyrl-CS"/>
              </w:rPr>
              <w:t>Домаћи 2</w:t>
            </w:r>
          </w:p>
        </w:tc>
        <w:tc>
          <w:tcPr>
            <w:tcW w:w="1152" w:type="pct"/>
            <w:gridSpan w:val="3"/>
            <w:vAlign w:val="center"/>
          </w:tcPr>
          <w:p w14:paraId="1679E3C5" w14:textId="07EF1AF6" w:rsidR="00F56FD7" w:rsidRPr="00D7756C" w:rsidRDefault="00F56FD7" w:rsidP="0007619C">
            <w:pPr>
              <w:rPr>
                <w:sz w:val="18"/>
                <w:szCs w:val="18"/>
                <w:lang w:val="en-US"/>
              </w:rPr>
            </w:pPr>
            <w:r w:rsidRPr="00D7756C">
              <w:rPr>
                <w:sz w:val="18"/>
                <w:szCs w:val="18"/>
                <w:lang w:val="sr-Cyrl-CS"/>
              </w:rPr>
              <w:t>Међународни 2</w:t>
            </w:r>
          </w:p>
        </w:tc>
      </w:tr>
      <w:tr w:rsidR="00F56FD7" w:rsidRPr="00D7756C" w14:paraId="0B768A4A" w14:textId="77777777" w:rsidTr="00427DA8">
        <w:trPr>
          <w:trHeight w:val="320"/>
          <w:jc w:val="center"/>
        </w:trPr>
        <w:tc>
          <w:tcPr>
            <w:tcW w:w="2129" w:type="pct"/>
            <w:gridSpan w:val="6"/>
            <w:vAlign w:val="center"/>
          </w:tcPr>
          <w:p w14:paraId="3C9E4DBF" w14:textId="77777777" w:rsidR="00F56FD7" w:rsidRPr="00D7756C" w:rsidRDefault="00F56FD7" w:rsidP="0007619C">
            <w:pPr>
              <w:rPr>
                <w:sz w:val="18"/>
                <w:szCs w:val="18"/>
                <w:lang w:val="sr-Cyrl-CS"/>
              </w:rPr>
            </w:pPr>
            <w:r w:rsidRPr="00D7756C">
              <w:rPr>
                <w:sz w:val="18"/>
                <w:szCs w:val="18"/>
                <w:lang w:val="sr-Cyrl-CS"/>
              </w:rPr>
              <w:t xml:space="preserve">Усавршавања </w:t>
            </w:r>
          </w:p>
        </w:tc>
        <w:tc>
          <w:tcPr>
            <w:tcW w:w="2871" w:type="pct"/>
            <w:gridSpan w:val="5"/>
            <w:vAlign w:val="center"/>
          </w:tcPr>
          <w:p w14:paraId="201973A7" w14:textId="2F18BA15" w:rsidR="00F56FD7" w:rsidRPr="00D7756C" w:rsidRDefault="00F56FD7" w:rsidP="0007619C">
            <w:pPr>
              <w:jc w:val="both"/>
              <w:rPr>
                <w:sz w:val="18"/>
                <w:szCs w:val="18"/>
                <w:lang w:val="sr-Cyrl-CS"/>
              </w:rPr>
            </w:pPr>
            <w:r w:rsidRPr="00D7756C">
              <w:rPr>
                <w:sz w:val="18"/>
                <w:szCs w:val="18"/>
              </w:rPr>
              <w:t>18</w:t>
            </w:r>
            <w:r w:rsidRPr="00D7756C">
              <w:rPr>
                <w:sz w:val="18"/>
                <w:szCs w:val="18"/>
                <w:vertAlign w:val="superscript"/>
              </w:rPr>
              <w:t>th</w:t>
            </w:r>
            <w:r w:rsidRPr="00D7756C">
              <w:rPr>
                <w:sz w:val="18"/>
                <w:szCs w:val="18"/>
              </w:rPr>
              <w:t xml:space="preserve"> Postgraduate CEI International Summer School of Cervia on: </w:t>
            </w:r>
            <w:r w:rsidRPr="00D7756C">
              <w:rPr>
                <w:i/>
                <w:sz w:val="18"/>
                <w:szCs w:val="18"/>
              </w:rPr>
              <w:t xml:space="preserve">“Beyond Enlargment. The Wider Europe and the New Neighbourhood” </w:t>
            </w:r>
            <w:r w:rsidRPr="00D7756C">
              <w:rPr>
                <w:sz w:val="18"/>
                <w:szCs w:val="18"/>
              </w:rPr>
              <w:t xml:space="preserve">course on </w:t>
            </w:r>
            <w:r w:rsidRPr="00D7756C">
              <w:rPr>
                <w:i/>
                <w:sz w:val="18"/>
                <w:szCs w:val="18"/>
              </w:rPr>
              <w:t>“Sustainable Development, Green Economy and the Role of Civil Society Networks”</w:t>
            </w:r>
            <w:r w:rsidRPr="00D7756C">
              <w:rPr>
                <w:sz w:val="18"/>
                <w:szCs w:val="18"/>
              </w:rPr>
              <w:t>, University of Bologna, School of Political Science “Roberto Ruffilli” – 1-15/9/2012.</w:t>
            </w:r>
          </w:p>
        </w:tc>
      </w:tr>
    </w:tbl>
    <w:p w14:paraId="643FE20F" w14:textId="77777777" w:rsidR="00423263" w:rsidRPr="00427DA8" w:rsidRDefault="00423263" w:rsidP="0007619C">
      <w:pPr>
        <w:rPr>
          <w:rFonts w:ascii="Calibri" w:hAnsi="Calibri"/>
          <w:sz w:val="18"/>
          <w:szCs w:val="18"/>
        </w:rPr>
      </w:pPr>
    </w:p>
    <w:sectPr w:rsidR="00423263" w:rsidRPr="00427DA8" w:rsidSect="00427DA8">
      <w:pgSz w:w="11909" w:h="16834"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Italic">
    <w:altName w:val="MS Mincho"/>
    <w:panose1 w:val="020B0604020202020204"/>
    <w:charset w:val="80"/>
    <w:family w:val="auto"/>
    <w:notTrueType/>
    <w:pitch w:val="default"/>
    <w:sig w:usb0="00000000"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A22AB9"/>
    <w:multiLevelType w:val="hybridMultilevel"/>
    <w:tmpl w:val="E1040DA2"/>
    <w:lvl w:ilvl="0" w:tplc="5DF60816">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203"/>
    <w:rsid w:val="0007619C"/>
    <w:rsid w:val="000B5267"/>
    <w:rsid w:val="000E0E7F"/>
    <w:rsid w:val="002671DB"/>
    <w:rsid w:val="002A1375"/>
    <w:rsid w:val="002B0516"/>
    <w:rsid w:val="002F4E0B"/>
    <w:rsid w:val="00423263"/>
    <w:rsid w:val="00427DA8"/>
    <w:rsid w:val="00575E8F"/>
    <w:rsid w:val="006D1CE4"/>
    <w:rsid w:val="007C7BE6"/>
    <w:rsid w:val="00847D31"/>
    <w:rsid w:val="00A26074"/>
    <w:rsid w:val="00A4278B"/>
    <w:rsid w:val="00AD239B"/>
    <w:rsid w:val="00AF2079"/>
    <w:rsid w:val="00B30AFC"/>
    <w:rsid w:val="00CD65A0"/>
    <w:rsid w:val="00D677BD"/>
    <w:rsid w:val="00D713C1"/>
    <w:rsid w:val="00D7756C"/>
    <w:rsid w:val="00DC5203"/>
    <w:rsid w:val="00EB1EB7"/>
    <w:rsid w:val="00F56FD7"/>
    <w:rsid w:val="00F625C0"/>
    <w:rsid w:val="00F721C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A6C93"/>
  <w15:docId w15:val="{7F13227E-2EE4-EE45-9D32-166471291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203"/>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079"/>
    <w:pPr>
      <w:ind w:left="720"/>
      <w:contextualSpacing/>
    </w:pPr>
  </w:style>
  <w:style w:type="character" w:styleId="Hyperlink">
    <w:name w:val="Hyperlink"/>
    <w:basedOn w:val="DefaultParagraphFont"/>
    <w:uiPriority w:val="99"/>
    <w:unhideWhenUsed/>
    <w:rsid w:val="00A4278B"/>
    <w:rPr>
      <w:color w:val="0563C1" w:themeColor="hyperlink"/>
      <w:u w:val="single"/>
    </w:rPr>
  </w:style>
  <w:style w:type="character" w:styleId="FollowedHyperlink">
    <w:name w:val="FollowedHyperlink"/>
    <w:basedOn w:val="DefaultParagraphFont"/>
    <w:uiPriority w:val="99"/>
    <w:semiHidden/>
    <w:unhideWhenUsed/>
    <w:rsid w:val="00A4278B"/>
    <w:rPr>
      <w:color w:val="954F72" w:themeColor="followedHyperlink"/>
      <w:u w:val="single"/>
    </w:rPr>
  </w:style>
  <w:style w:type="character" w:styleId="Strong">
    <w:name w:val="Strong"/>
    <w:basedOn w:val="DefaultParagraphFont"/>
    <w:uiPriority w:val="22"/>
    <w:qFormat/>
    <w:rsid w:val="00575E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Mladja</dc:creator>
  <cp:lastModifiedBy>Microsoft Office User</cp:lastModifiedBy>
  <cp:revision>3</cp:revision>
  <dcterms:created xsi:type="dcterms:W3CDTF">2020-05-26T08:49:00Z</dcterms:created>
  <dcterms:modified xsi:type="dcterms:W3CDTF">2020-05-26T09:11:00Z</dcterms:modified>
</cp:coreProperties>
</file>