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423"/>
        <w:gridCol w:w="1239"/>
        <w:gridCol w:w="689"/>
        <w:gridCol w:w="1178"/>
        <w:gridCol w:w="1821"/>
        <w:gridCol w:w="332"/>
        <w:gridCol w:w="1229"/>
        <w:gridCol w:w="66"/>
        <w:gridCol w:w="1231"/>
        <w:gridCol w:w="893"/>
      </w:tblGrid>
      <w:tr w:rsidR="00DC5203" w:rsidRPr="00A22864" w14:paraId="2AA990A9" w14:textId="77777777" w:rsidTr="00AF2079">
        <w:trPr>
          <w:trHeight w:val="320"/>
          <w:jc w:val="center"/>
        </w:trPr>
        <w:tc>
          <w:tcPr>
            <w:tcW w:w="2062" w:type="pct"/>
            <w:gridSpan w:val="5"/>
            <w:vAlign w:val="center"/>
          </w:tcPr>
          <w:p w14:paraId="5D07B718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938" w:type="pct"/>
            <w:gridSpan w:val="6"/>
            <w:vAlign w:val="center"/>
          </w:tcPr>
          <w:p w14:paraId="0C0804B7" w14:textId="77777777" w:rsidR="00DC5203" w:rsidRPr="00A22864" w:rsidRDefault="00A26074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Мирослав Вујичић</w:t>
            </w:r>
          </w:p>
        </w:tc>
      </w:tr>
      <w:tr w:rsidR="00DC5203" w:rsidRPr="00A22864" w14:paraId="04E5BE78" w14:textId="77777777" w:rsidTr="00AF2079">
        <w:trPr>
          <w:trHeight w:val="320"/>
          <w:jc w:val="center"/>
        </w:trPr>
        <w:tc>
          <w:tcPr>
            <w:tcW w:w="2062" w:type="pct"/>
            <w:gridSpan w:val="5"/>
            <w:vAlign w:val="center"/>
          </w:tcPr>
          <w:p w14:paraId="461F755E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938" w:type="pct"/>
            <w:gridSpan w:val="6"/>
            <w:vAlign w:val="center"/>
          </w:tcPr>
          <w:p w14:paraId="3FE6660C" w14:textId="77777777" w:rsidR="00DC5203" w:rsidRPr="00A22864" w:rsidRDefault="00A26074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DC5203" w:rsidRPr="00A22864" w14:paraId="11518487" w14:textId="77777777" w:rsidTr="00AF2079">
        <w:trPr>
          <w:trHeight w:val="320"/>
          <w:jc w:val="center"/>
        </w:trPr>
        <w:tc>
          <w:tcPr>
            <w:tcW w:w="2062" w:type="pct"/>
            <w:gridSpan w:val="5"/>
            <w:vAlign w:val="center"/>
          </w:tcPr>
          <w:p w14:paraId="7CC8A87A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938" w:type="pct"/>
            <w:gridSpan w:val="6"/>
            <w:vAlign w:val="center"/>
          </w:tcPr>
          <w:p w14:paraId="38F45AF0" w14:textId="77777777" w:rsidR="00DC5203" w:rsidRPr="00A22864" w:rsidRDefault="00D677BD" w:rsidP="00B86C8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Туризам </w:t>
            </w:r>
          </w:p>
        </w:tc>
      </w:tr>
      <w:tr w:rsidR="00DC5203" w:rsidRPr="00A22864" w14:paraId="5ECCD738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7F55F2A0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21" w:type="pct"/>
            <w:vAlign w:val="center"/>
          </w:tcPr>
          <w:p w14:paraId="1F49DE2F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960" w:type="pct"/>
            <w:vAlign w:val="center"/>
          </w:tcPr>
          <w:p w14:paraId="6FDD86DD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208BCBAA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2E110A82" w14:textId="77777777" w:rsidR="00DC5203" w:rsidRPr="00646624" w:rsidRDefault="00DC5203" w:rsidP="00B86C8C">
            <w:r>
              <w:t>Ужа научна односно уметничка област</w:t>
            </w:r>
          </w:p>
        </w:tc>
      </w:tr>
      <w:tr w:rsidR="00D677BD" w:rsidRPr="00A22864" w14:paraId="08F6F757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73696FCF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21" w:type="pct"/>
            <w:vAlign w:val="center"/>
          </w:tcPr>
          <w:p w14:paraId="2EF34AB1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A26074">
              <w:rPr>
                <w:lang w:val="sr-Cyrl-CS"/>
              </w:rPr>
              <w:t>5</w:t>
            </w:r>
          </w:p>
        </w:tc>
        <w:tc>
          <w:tcPr>
            <w:tcW w:w="960" w:type="pct"/>
            <w:vAlign w:val="center"/>
          </w:tcPr>
          <w:p w14:paraId="468530C2" w14:textId="77777777" w:rsidR="00D677BD" w:rsidRPr="00A22864" w:rsidRDefault="00D677BD" w:rsidP="00542922">
            <w:pPr>
              <w:rPr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7EAC4EC0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33561882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677BD" w:rsidRPr="00A22864" w14:paraId="0B7145E6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057B7C5B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21" w:type="pct"/>
            <w:vAlign w:val="center"/>
          </w:tcPr>
          <w:p w14:paraId="6D5E67ED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A26074">
              <w:rPr>
                <w:lang w:val="sr-Cyrl-CS"/>
              </w:rPr>
              <w:t>5</w:t>
            </w:r>
          </w:p>
        </w:tc>
        <w:tc>
          <w:tcPr>
            <w:tcW w:w="960" w:type="pct"/>
            <w:vAlign w:val="center"/>
          </w:tcPr>
          <w:p w14:paraId="59C5EA21" w14:textId="77777777" w:rsidR="00D677BD" w:rsidRPr="00A22864" w:rsidRDefault="00D677BD" w:rsidP="00542922">
            <w:pPr>
              <w:rPr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18B3D7B8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46677E9E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677BD" w:rsidRPr="00A22864" w14:paraId="77649411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13933B82" w14:textId="77777777" w:rsidR="00D677BD" w:rsidRPr="00646624" w:rsidRDefault="00D677BD" w:rsidP="00B86C8C">
            <w:r>
              <w:t>Магистратура</w:t>
            </w:r>
          </w:p>
        </w:tc>
        <w:tc>
          <w:tcPr>
            <w:tcW w:w="621" w:type="pct"/>
            <w:vAlign w:val="center"/>
          </w:tcPr>
          <w:p w14:paraId="125EB17D" w14:textId="77777777" w:rsidR="00D677BD" w:rsidRPr="00A22864" w:rsidRDefault="00A26074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960" w:type="pct"/>
            <w:vAlign w:val="center"/>
          </w:tcPr>
          <w:p w14:paraId="55CBB1EB" w14:textId="77777777" w:rsidR="00D677BD" w:rsidRPr="00A22864" w:rsidRDefault="00D677BD" w:rsidP="00542922">
            <w:pPr>
              <w:rPr>
                <w:lang w:val="sr-Cyrl-CS"/>
              </w:rPr>
            </w:pP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02757657" w14:textId="77777777" w:rsidR="00D677BD" w:rsidRPr="00A22864" w:rsidRDefault="00D677BD" w:rsidP="00542922">
            <w:pPr>
              <w:rPr>
                <w:lang w:val="sr-Cyrl-CS"/>
              </w:rPr>
            </w:pP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6F49A5A5" w14:textId="77777777" w:rsidR="00D677BD" w:rsidRPr="00A22864" w:rsidRDefault="00D677BD" w:rsidP="00542922">
            <w:pPr>
              <w:rPr>
                <w:lang w:val="sr-Cyrl-CS"/>
              </w:rPr>
            </w:pPr>
          </w:p>
        </w:tc>
      </w:tr>
      <w:tr w:rsidR="00D677BD" w:rsidRPr="00A22864" w14:paraId="4A3AB315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68913AF2" w14:textId="77777777" w:rsidR="00D677BD" w:rsidRDefault="00D677BD" w:rsidP="00B86C8C">
            <w:r>
              <w:t>Мастер диплома</w:t>
            </w:r>
          </w:p>
        </w:tc>
        <w:tc>
          <w:tcPr>
            <w:tcW w:w="621" w:type="pct"/>
            <w:vAlign w:val="center"/>
          </w:tcPr>
          <w:p w14:paraId="268F4FF9" w14:textId="77777777" w:rsidR="00D677BD" w:rsidRPr="00A22864" w:rsidRDefault="00A26074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960" w:type="pct"/>
            <w:vAlign w:val="center"/>
          </w:tcPr>
          <w:p w14:paraId="62FBD92C" w14:textId="77777777" w:rsidR="00D677BD" w:rsidRPr="00A22864" w:rsidRDefault="00A26074" w:rsidP="00542922">
            <w:pPr>
              <w:rPr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72C76564" w14:textId="77777777" w:rsidR="00D677BD" w:rsidRPr="00A22864" w:rsidRDefault="00A26074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6689A98F" w14:textId="77777777" w:rsidR="00D677BD" w:rsidRPr="00A22864" w:rsidRDefault="00A26074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677BD" w:rsidRPr="00A22864" w14:paraId="37B31519" w14:textId="77777777" w:rsidTr="00AF2079">
        <w:trPr>
          <w:trHeight w:val="320"/>
          <w:jc w:val="center"/>
        </w:trPr>
        <w:tc>
          <w:tcPr>
            <w:tcW w:w="1441" w:type="pct"/>
            <w:gridSpan w:val="4"/>
            <w:vAlign w:val="center"/>
          </w:tcPr>
          <w:p w14:paraId="48F50831" w14:textId="77777777" w:rsidR="00D677BD" w:rsidRPr="00A22864" w:rsidRDefault="00D677BD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21" w:type="pct"/>
            <w:vAlign w:val="center"/>
          </w:tcPr>
          <w:p w14:paraId="7B48184A" w14:textId="77777777" w:rsidR="00D677BD" w:rsidRPr="00A22864" w:rsidRDefault="00D677BD" w:rsidP="00D677BD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  <w:r w:rsidR="00A26074">
              <w:rPr>
                <w:lang w:val="sr-Cyrl-CS"/>
              </w:rPr>
              <w:t>7</w:t>
            </w:r>
          </w:p>
        </w:tc>
        <w:tc>
          <w:tcPr>
            <w:tcW w:w="960" w:type="pct"/>
            <w:vAlign w:val="center"/>
          </w:tcPr>
          <w:p w14:paraId="17D8BC95" w14:textId="77777777" w:rsidR="00D677BD" w:rsidRPr="00A22864" w:rsidRDefault="00D677BD" w:rsidP="00542922">
            <w:pPr>
              <w:rPr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858" w:type="pct"/>
            <w:gridSpan w:val="3"/>
            <w:shd w:val="clear" w:color="auto" w:fill="auto"/>
            <w:vAlign w:val="center"/>
          </w:tcPr>
          <w:p w14:paraId="70C7509B" w14:textId="77777777" w:rsidR="00D677BD" w:rsidRPr="00A22864" w:rsidRDefault="00A26074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  <w:tc>
          <w:tcPr>
            <w:tcW w:w="1121" w:type="pct"/>
            <w:gridSpan w:val="2"/>
            <w:shd w:val="clear" w:color="auto" w:fill="auto"/>
            <w:vAlign w:val="center"/>
          </w:tcPr>
          <w:p w14:paraId="296C3828" w14:textId="77777777" w:rsidR="00D677BD" w:rsidRPr="00A22864" w:rsidRDefault="00D677BD" w:rsidP="00542922">
            <w:pPr>
              <w:rPr>
                <w:lang w:val="sr-Cyrl-CS"/>
              </w:rPr>
            </w:pPr>
            <w:r>
              <w:rPr>
                <w:lang w:val="sr-Cyrl-CS"/>
              </w:rPr>
              <w:t>Туризам</w:t>
            </w:r>
          </w:p>
        </w:tc>
      </w:tr>
      <w:tr w:rsidR="00D677BD" w:rsidRPr="00A22864" w14:paraId="01FE1A44" w14:textId="77777777" w:rsidTr="00AF2079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6C3D2D41" w14:textId="77777777" w:rsidR="00D677BD" w:rsidRPr="00AF2079" w:rsidRDefault="00D677BD" w:rsidP="00B86C8C">
            <w:pPr>
              <w:rPr>
                <w:b/>
              </w:rPr>
            </w:pPr>
            <w:r w:rsidRPr="00AF2079">
              <w:rPr>
                <w:b/>
                <w:lang w:val="sr-Cyrl-CS"/>
              </w:rPr>
              <w:t xml:space="preserve">Списак предмета </w:t>
            </w:r>
            <w:r w:rsidRPr="00AF2079">
              <w:rPr>
                <w:b/>
              </w:rPr>
              <w:t>које наставник држи на докторским студијама</w:t>
            </w:r>
          </w:p>
        </w:tc>
      </w:tr>
      <w:tr w:rsidR="00D677BD" w:rsidRPr="00A22864" w14:paraId="0E3825CB" w14:textId="77777777" w:rsidTr="00AF2079">
        <w:trPr>
          <w:trHeight w:val="320"/>
          <w:jc w:val="center"/>
        </w:trPr>
        <w:tc>
          <w:tcPr>
            <w:tcW w:w="425" w:type="pct"/>
            <w:gridSpan w:val="2"/>
            <w:shd w:val="clear" w:color="auto" w:fill="auto"/>
            <w:vAlign w:val="center"/>
          </w:tcPr>
          <w:p w14:paraId="0C425BBA" w14:textId="77777777" w:rsidR="00D677BD" w:rsidRPr="00646624" w:rsidRDefault="00D677BD" w:rsidP="00B86C8C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68C5AAD0" w14:textId="77777777" w:rsidR="00D677BD" w:rsidRPr="00646624" w:rsidRDefault="00D677BD" w:rsidP="00B86C8C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921" w:type="pct"/>
            <w:gridSpan w:val="8"/>
            <w:vAlign w:val="center"/>
          </w:tcPr>
          <w:p w14:paraId="0236DFE6" w14:textId="77777777" w:rsidR="00D677BD" w:rsidRPr="00646624" w:rsidRDefault="00D677BD" w:rsidP="00B86C8C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677BD" w:rsidRPr="00A22864" w14:paraId="410B8D13" w14:textId="77777777" w:rsidTr="00AF2079">
        <w:trPr>
          <w:trHeight w:val="320"/>
          <w:jc w:val="center"/>
        </w:trPr>
        <w:tc>
          <w:tcPr>
            <w:tcW w:w="425" w:type="pct"/>
            <w:gridSpan w:val="2"/>
            <w:shd w:val="clear" w:color="auto" w:fill="auto"/>
            <w:vAlign w:val="center"/>
          </w:tcPr>
          <w:p w14:paraId="1B0E88CF" w14:textId="77777777" w:rsidR="00D677BD" w:rsidRPr="00A22864" w:rsidRDefault="00AF2079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17A33030" w14:textId="77777777" w:rsidR="00D677BD" w:rsidRPr="00A22864" w:rsidRDefault="00AF2079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ДТ12</w:t>
            </w:r>
            <w:r w:rsidR="00A26074">
              <w:rPr>
                <w:lang w:val="sr-Cyrl-CS"/>
              </w:rPr>
              <w:t>9</w:t>
            </w:r>
          </w:p>
        </w:tc>
        <w:tc>
          <w:tcPr>
            <w:tcW w:w="3921" w:type="pct"/>
            <w:gridSpan w:val="8"/>
            <w:vAlign w:val="center"/>
          </w:tcPr>
          <w:p w14:paraId="6A7C63BF" w14:textId="77777777" w:rsidR="00D677BD" w:rsidRPr="00A22864" w:rsidRDefault="00A26074" w:rsidP="00B86C8C">
            <w:pPr>
              <w:rPr>
                <w:lang w:val="sr-Cyrl-CS"/>
              </w:rPr>
            </w:pPr>
            <w:proofErr w:type="spellStart"/>
            <w:r w:rsidRPr="00A26074">
              <w:rPr>
                <w:lang w:val="en-US"/>
              </w:rPr>
              <w:t>Руковођење</w:t>
            </w:r>
            <w:proofErr w:type="spellEnd"/>
            <w:r w:rsidRPr="00A26074">
              <w:rPr>
                <w:lang w:val="en-US"/>
              </w:rPr>
              <w:t xml:space="preserve"> и </w:t>
            </w:r>
            <w:proofErr w:type="spellStart"/>
            <w:r w:rsidRPr="00A26074">
              <w:rPr>
                <w:lang w:val="en-US"/>
              </w:rPr>
              <w:t>мотивација</w:t>
            </w:r>
            <w:proofErr w:type="spellEnd"/>
            <w:r w:rsidRPr="00A26074">
              <w:rPr>
                <w:lang w:val="en-US"/>
              </w:rPr>
              <w:t xml:space="preserve"> у </w:t>
            </w:r>
            <w:proofErr w:type="spellStart"/>
            <w:r w:rsidRPr="00A26074">
              <w:rPr>
                <w:lang w:val="en-US"/>
              </w:rPr>
              <w:t>туризму</w:t>
            </w:r>
            <w:proofErr w:type="spellEnd"/>
            <w:r w:rsidRPr="00A26074">
              <w:rPr>
                <w:lang w:val="en-US"/>
              </w:rPr>
              <w:t xml:space="preserve"> и </w:t>
            </w:r>
            <w:proofErr w:type="spellStart"/>
            <w:r w:rsidRPr="00A26074">
              <w:rPr>
                <w:lang w:val="en-US"/>
              </w:rPr>
              <w:t>хотелијерству</w:t>
            </w:r>
            <w:proofErr w:type="spellEnd"/>
          </w:p>
        </w:tc>
      </w:tr>
      <w:tr w:rsidR="00D677BD" w:rsidRPr="00A22864" w14:paraId="0ED5BC52" w14:textId="77777777" w:rsidTr="00AF2079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732FE0F3" w14:textId="77777777" w:rsidR="00D677BD" w:rsidRPr="00AF2079" w:rsidRDefault="00D677BD" w:rsidP="00AF2079">
            <w:pPr>
              <w:rPr>
                <w:b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  <w:r w:rsidRPr="00D677BD">
              <w:rPr>
                <w:b/>
              </w:rPr>
              <w:t xml:space="preserve"> </w:t>
            </w:r>
          </w:p>
        </w:tc>
      </w:tr>
      <w:tr w:rsidR="00AF2079" w:rsidRPr="000D2195" w14:paraId="780FB9C7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38A65AF3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60FBE8DA" w14:textId="77777777" w:rsidR="00AF2079" w:rsidRPr="00A4278B" w:rsidRDefault="00A4278B" w:rsidP="00542922">
            <w:pPr>
              <w:rPr>
                <w:sz w:val="16"/>
                <w:szCs w:val="16"/>
              </w:rPr>
            </w:pPr>
            <w:proofErr w:type="spellStart"/>
            <w:r w:rsidRPr="00A4278B">
              <w:rPr>
                <w:sz w:val="16"/>
                <w:szCs w:val="16"/>
                <w:lang w:val="en-GB"/>
              </w:rPr>
              <w:t>Vasiljević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Dj.A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Marković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S.B., Hose, T.A., Ding, Z.,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Guo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Z., Liu, X., Smalley, I.,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Lukić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T.,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Vujičić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>., M.D. (2014): Loess–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palaeosol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sequences in China and Europe: Common values and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geoconservation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issues. Catena 117, 108-118.</w:t>
            </w:r>
          </w:p>
        </w:tc>
        <w:tc>
          <w:tcPr>
            <w:tcW w:w="471" w:type="pct"/>
            <w:vAlign w:val="center"/>
          </w:tcPr>
          <w:p w14:paraId="3B20E576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</w:t>
            </w:r>
            <w:r w:rsidR="00A4278B">
              <w:rPr>
                <w:sz w:val="16"/>
                <w:szCs w:val="16"/>
                <w:lang w:val="sr-Cyrl-CS"/>
              </w:rPr>
              <w:t>1</w:t>
            </w:r>
          </w:p>
        </w:tc>
      </w:tr>
      <w:tr w:rsidR="00AF2079" w:rsidRPr="000D2195" w14:paraId="76E9FFB9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0E57064D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3B9966F4" w14:textId="77777777" w:rsidR="00AF2079" w:rsidRPr="00A4278B" w:rsidRDefault="00A4278B" w:rsidP="00542922">
            <w:pPr>
              <w:rPr>
                <w:sz w:val="16"/>
                <w:szCs w:val="16"/>
              </w:rPr>
            </w:pPr>
            <w:proofErr w:type="spellStart"/>
            <w:r w:rsidRPr="00A4278B">
              <w:rPr>
                <w:sz w:val="16"/>
                <w:szCs w:val="16"/>
                <w:lang w:val="en-GB"/>
              </w:rPr>
              <w:t>Stankov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U.,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Kennell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J., Morrison, A.M.,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Vujičić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>, M.D., (2019). The view from above: the relevance of shared aerial drone videos for destination marketing. Journal of Travel &amp; Tourism Marketing, 36/7, 808-822, ISSN: 1054-8408 https://doi.org/10.1080/10548408.2019.1575787</w:t>
            </w:r>
          </w:p>
        </w:tc>
        <w:tc>
          <w:tcPr>
            <w:tcW w:w="471" w:type="pct"/>
            <w:vAlign w:val="center"/>
          </w:tcPr>
          <w:p w14:paraId="070F7436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</w:t>
            </w:r>
            <w:r w:rsidR="00A4278B">
              <w:rPr>
                <w:sz w:val="16"/>
                <w:szCs w:val="16"/>
                <w:lang w:val="sr-Cyrl-CS"/>
              </w:rPr>
              <w:t>2</w:t>
            </w:r>
          </w:p>
        </w:tc>
      </w:tr>
      <w:tr w:rsidR="00AF2079" w:rsidRPr="000D2195" w14:paraId="42FDED35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0A0460AF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64FDD271" w14:textId="77777777" w:rsidR="00AF2079" w:rsidRPr="00A4278B" w:rsidRDefault="00A4278B" w:rsidP="00542922">
            <w:pPr>
              <w:rPr>
                <w:sz w:val="16"/>
                <w:szCs w:val="16"/>
              </w:rPr>
            </w:pPr>
            <w:proofErr w:type="spellStart"/>
            <w:r w:rsidRPr="00A4278B">
              <w:rPr>
                <w:sz w:val="16"/>
                <w:szCs w:val="16"/>
                <w:lang w:val="en-GB"/>
              </w:rPr>
              <w:t>Višnić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T.,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Spasojević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B.,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Vujičić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</w:t>
            </w:r>
            <w:r w:rsidRPr="00A4278B">
              <w:rPr>
                <w:bCs/>
                <w:sz w:val="16"/>
                <w:szCs w:val="16"/>
                <w:lang w:val="en-GB"/>
              </w:rPr>
              <w:t>M.</w:t>
            </w:r>
            <w:r w:rsidRPr="00A4278B">
              <w:rPr>
                <w:sz w:val="16"/>
                <w:szCs w:val="16"/>
                <w:lang w:val="en-GB"/>
              </w:rPr>
              <w:t xml:space="preserve"> (2016). </w:t>
            </w:r>
            <w:r w:rsidRPr="00A4278B">
              <w:rPr>
                <w:bCs/>
                <w:sz w:val="16"/>
                <w:szCs w:val="16"/>
                <w:lang w:val="en-GB"/>
              </w:rPr>
              <w:t xml:space="preserve">The Potential for </w:t>
            </w:r>
            <w:proofErr w:type="spellStart"/>
            <w:r w:rsidRPr="00A4278B">
              <w:rPr>
                <w:bCs/>
                <w:sz w:val="16"/>
                <w:szCs w:val="16"/>
                <w:lang w:val="en-GB"/>
              </w:rPr>
              <w:t>Geotourism</w:t>
            </w:r>
            <w:proofErr w:type="spellEnd"/>
            <w:r w:rsidRPr="00A4278B">
              <w:rPr>
                <w:bCs/>
                <w:sz w:val="16"/>
                <w:szCs w:val="16"/>
                <w:lang w:val="en-GB"/>
              </w:rPr>
              <w:t xml:space="preserve"> Development on the </w:t>
            </w:r>
            <w:proofErr w:type="spellStart"/>
            <w:r w:rsidRPr="00A4278B">
              <w:rPr>
                <w:bCs/>
                <w:sz w:val="16"/>
                <w:szCs w:val="16"/>
                <w:lang w:val="en-GB"/>
              </w:rPr>
              <w:t>Srem</w:t>
            </w:r>
            <w:proofErr w:type="spellEnd"/>
            <w:r w:rsidRPr="00A4278B">
              <w:rPr>
                <w:bCs/>
                <w:sz w:val="16"/>
                <w:szCs w:val="16"/>
                <w:lang w:val="en-GB"/>
              </w:rPr>
              <w:t xml:space="preserve"> Loess Plateau Based on a Preliminary </w:t>
            </w:r>
            <w:proofErr w:type="spellStart"/>
            <w:r w:rsidRPr="00A4278B">
              <w:rPr>
                <w:bCs/>
                <w:sz w:val="16"/>
                <w:szCs w:val="16"/>
                <w:lang w:val="en-GB"/>
              </w:rPr>
              <w:t>Geosite</w:t>
            </w:r>
            <w:proofErr w:type="spellEnd"/>
            <w:r w:rsidRPr="00A4278B">
              <w:rPr>
                <w:bCs/>
                <w:sz w:val="16"/>
                <w:szCs w:val="16"/>
                <w:lang w:val="en-GB"/>
              </w:rPr>
              <w:t xml:space="preserve"> Assessment Model (GAM). </w:t>
            </w:r>
            <w:proofErr w:type="spellStart"/>
            <w:r w:rsidRPr="00A4278B">
              <w:rPr>
                <w:bCs/>
                <w:sz w:val="16"/>
                <w:szCs w:val="16"/>
                <w:lang w:val="en-GB"/>
              </w:rPr>
              <w:t>Geoheritage</w:t>
            </w:r>
            <w:proofErr w:type="spellEnd"/>
            <w:r w:rsidRPr="00A4278B">
              <w:rPr>
                <w:bCs/>
                <w:sz w:val="16"/>
                <w:szCs w:val="16"/>
                <w:lang w:val="en-GB"/>
              </w:rPr>
              <w:t xml:space="preserve"> 8/2, 173-180, ISSN: 1867-2477 (Print) </w:t>
            </w:r>
            <w:r w:rsidRPr="00A4278B">
              <w:rPr>
                <w:sz w:val="16"/>
                <w:szCs w:val="16"/>
                <w:lang w:val="en-GB"/>
              </w:rPr>
              <w:t>DOI: 10.1007/s12371-015-0149-9</w:t>
            </w:r>
          </w:p>
        </w:tc>
        <w:tc>
          <w:tcPr>
            <w:tcW w:w="471" w:type="pct"/>
            <w:vAlign w:val="center"/>
          </w:tcPr>
          <w:p w14:paraId="787F3414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M2</w:t>
            </w:r>
            <w:r w:rsidR="00A4278B">
              <w:rPr>
                <w:sz w:val="16"/>
                <w:szCs w:val="16"/>
              </w:rPr>
              <w:t>2</w:t>
            </w:r>
          </w:p>
        </w:tc>
      </w:tr>
      <w:tr w:rsidR="00AF2079" w:rsidRPr="000D2195" w14:paraId="4419F9EA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2281F388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6E6863BF" w14:textId="77777777" w:rsidR="00AF2079" w:rsidRPr="00A4278B" w:rsidRDefault="00A4278B" w:rsidP="00542922">
            <w:pPr>
              <w:rPr>
                <w:sz w:val="16"/>
                <w:szCs w:val="16"/>
              </w:rPr>
            </w:pPr>
            <w:proofErr w:type="spellStart"/>
            <w:r w:rsidRPr="00A4278B">
              <w:rPr>
                <w:sz w:val="16"/>
                <w:szCs w:val="16"/>
                <w:lang w:val="en-GB"/>
              </w:rPr>
              <w:t>Vujičić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</w:t>
            </w:r>
            <w:r w:rsidRPr="00A4278B">
              <w:rPr>
                <w:bCs/>
                <w:sz w:val="16"/>
                <w:szCs w:val="16"/>
                <w:lang w:val="en-GB"/>
              </w:rPr>
              <w:t>M.D.,</w:t>
            </w:r>
            <w:r w:rsidRPr="00A4278B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Vasiljević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Đ.A., Hose, T.A.,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Tasić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N.,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Morar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C.,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Ðurić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A.,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Marković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>, S.B. (2018). A multi-criteria decision analysis with special reference to loess and archaeological sites in Serbia (Could geosciences and archaeology cohabitate?). Open Geosciences, 10/1, 333-343, ISSN:2391-5447, https://doi.org/10.1515/geo-2018-0026</w:t>
            </w:r>
          </w:p>
        </w:tc>
        <w:tc>
          <w:tcPr>
            <w:tcW w:w="471" w:type="pct"/>
            <w:vAlign w:val="center"/>
          </w:tcPr>
          <w:p w14:paraId="35C79132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</w:t>
            </w:r>
            <w:r w:rsidR="00A4278B">
              <w:rPr>
                <w:sz w:val="16"/>
                <w:szCs w:val="16"/>
                <w:lang w:val="sr-Cyrl-CS"/>
              </w:rPr>
              <w:t>3</w:t>
            </w:r>
          </w:p>
        </w:tc>
      </w:tr>
      <w:tr w:rsidR="00AF2079" w:rsidRPr="000D2195" w14:paraId="153948E8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33955C2D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03FDFFD8" w14:textId="77777777" w:rsidR="00AF2079" w:rsidRPr="000D2195" w:rsidRDefault="00A4278B" w:rsidP="00542922">
            <w:pPr>
              <w:rPr>
                <w:sz w:val="16"/>
                <w:szCs w:val="16"/>
              </w:rPr>
            </w:pPr>
            <w:r w:rsidRPr="00A4278B">
              <w:rPr>
                <w:sz w:val="16"/>
                <w:szCs w:val="16"/>
                <w:lang w:val="en-GB"/>
              </w:rPr>
              <w:t xml:space="preserve">Miroslav D.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Vujičić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Djordjije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A.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Vasiljević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Slobodan B.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Marković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Thomas A. Hose, Tin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Lukić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Olga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Hadžić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Sava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Janićević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. (2011) Preliminary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geosite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assessment model (gam) and its application on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Fruška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gora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mountain, potential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geotourism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destination of Serbia.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Acta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geographica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Slovenica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. 51-3, 361-376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doi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>: 10.3986/AGS51303</w:t>
            </w:r>
          </w:p>
        </w:tc>
        <w:tc>
          <w:tcPr>
            <w:tcW w:w="471" w:type="pct"/>
            <w:vAlign w:val="center"/>
          </w:tcPr>
          <w:p w14:paraId="424CBE9C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M2</w:t>
            </w:r>
            <w:r w:rsidR="00A4278B">
              <w:rPr>
                <w:sz w:val="16"/>
                <w:szCs w:val="16"/>
              </w:rPr>
              <w:t>3</w:t>
            </w:r>
          </w:p>
        </w:tc>
      </w:tr>
      <w:tr w:rsidR="00AF2079" w:rsidRPr="000D2195" w14:paraId="7D44E7F9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51AEA4C7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33F43E7C" w14:textId="77777777" w:rsidR="00AF2079" w:rsidRPr="000D2195" w:rsidRDefault="00A4278B" w:rsidP="00542922">
            <w:pPr>
              <w:rPr>
                <w:sz w:val="16"/>
                <w:szCs w:val="16"/>
              </w:rPr>
            </w:pPr>
            <w:r w:rsidRPr="00A4278B">
              <w:rPr>
                <w:sz w:val="16"/>
                <w:szCs w:val="16"/>
              </w:rPr>
              <w:t>Kovačić, S., Jovanović, T., Miljković, D., Lukić, T., Marković, S.B., Vasiljević, D.A., Vujičić, M.D., Ivkov, M. (2019). Are Serbian tourists worried? the effect of psychological factors on tourists' behavior based on the perceived risk. Open Geosciences, 11/1, 273-287, ISSN:2391-5447, doi:10.1515/geo-2019-0022</w:t>
            </w:r>
          </w:p>
        </w:tc>
        <w:tc>
          <w:tcPr>
            <w:tcW w:w="471" w:type="pct"/>
            <w:vAlign w:val="center"/>
          </w:tcPr>
          <w:p w14:paraId="3C0DECDE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AF2079" w:rsidRPr="000D2195" w14:paraId="65373BF2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578427CD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03F7D67E" w14:textId="77777777" w:rsidR="00AF2079" w:rsidRPr="000D2195" w:rsidRDefault="00A4278B" w:rsidP="00542922">
            <w:pPr>
              <w:rPr>
                <w:sz w:val="16"/>
                <w:szCs w:val="16"/>
              </w:rPr>
            </w:pPr>
            <w:r w:rsidRPr="00A4278B">
              <w:rPr>
                <w:sz w:val="16"/>
                <w:szCs w:val="16"/>
              </w:rPr>
              <w:t>Dragović, N., Vasiljević, D., Stankov, U., Vujičić, M. (2019). Go social for your own safety! Review of social networks use on natural disasters – case studies from worldwide. Open Geosciences, 11/1, 352-366, ISSN:2391-5447, https://doi.org/10.1515/geo-2019-0028</w:t>
            </w:r>
          </w:p>
        </w:tc>
        <w:tc>
          <w:tcPr>
            <w:tcW w:w="471" w:type="pct"/>
            <w:vAlign w:val="center"/>
          </w:tcPr>
          <w:p w14:paraId="55EC4C48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</w:t>
            </w:r>
            <w:r w:rsidR="00A4278B">
              <w:rPr>
                <w:sz w:val="16"/>
                <w:szCs w:val="16"/>
                <w:lang w:val="sr-Cyrl-CS"/>
              </w:rPr>
              <w:t>3</w:t>
            </w:r>
          </w:p>
        </w:tc>
      </w:tr>
      <w:tr w:rsidR="00AF2079" w:rsidRPr="000D2195" w14:paraId="7EA1B8F4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1303B24C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0FDBB8FF" w14:textId="77777777" w:rsidR="00AF2079" w:rsidRPr="000D2195" w:rsidRDefault="00F625C0" w:rsidP="00542922">
            <w:pPr>
              <w:rPr>
                <w:sz w:val="16"/>
                <w:szCs w:val="16"/>
              </w:rPr>
            </w:pPr>
            <w:r w:rsidRPr="00F625C0">
              <w:rPr>
                <w:sz w:val="16"/>
                <w:szCs w:val="16"/>
              </w:rPr>
              <w:t>Miljković, Đ., Božić, S., Miljković, Lj., Marković, S.B., Lukić, T., Jovanović, M., Bjelajac, D., Vasiljević, Đ.A., Vujičić, M.D., Ristanović, B. (2018). Geosite Assessment Using Three Different Methods; a Comparative Study of the Krupaja and the Žagubica Springs – Hydrological Heritage of Serbia. Open Geosciences, 10/1, 192-208, ISSN:2391-5447, https://doi.org/10.1515/geo- 2018- 0015</w:t>
            </w:r>
          </w:p>
        </w:tc>
        <w:tc>
          <w:tcPr>
            <w:tcW w:w="471" w:type="pct"/>
            <w:vAlign w:val="center"/>
          </w:tcPr>
          <w:p w14:paraId="7B54C8A1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AF2079" w:rsidRPr="000D2195" w14:paraId="226A6CCF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1D415B35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6F54CFC0" w14:textId="77777777" w:rsidR="00AF2079" w:rsidRPr="000D2195" w:rsidRDefault="00F625C0" w:rsidP="00542922">
            <w:pPr>
              <w:rPr>
                <w:sz w:val="16"/>
                <w:szCs w:val="16"/>
              </w:rPr>
            </w:pPr>
            <w:r w:rsidRPr="00F625C0">
              <w:rPr>
                <w:sz w:val="16"/>
                <w:szCs w:val="16"/>
              </w:rPr>
              <w:t>Vasiljević, Đ.A., Vujičić, M.D., Božić, S., Jovanović, T., Marković, S.B., Basarin, B., Lukić, T., Čarkadžić, J. (2018). Trying to underline geotourist profile of National park visitors: Case study of NP Fruška Gora, Serbia (Typology of potential geotourists at NP Fruška Gora). Open Geosciences, 10/1, 222-233, ISSN:2391-5447, https://doi.org/10.1515/geo-2018-0017</w:t>
            </w:r>
          </w:p>
        </w:tc>
        <w:tc>
          <w:tcPr>
            <w:tcW w:w="471" w:type="pct"/>
            <w:vAlign w:val="center"/>
          </w:tcPr>
          <w:p w14:paraId="23B2EE3D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M23</w:t>
            </w:r>
          </w:p>
        </w:tc>
      </w:tr>
      <w:tr w:rsidR="00AF2079" w:rsidRPr="000D2195" w14:paraId="11983F47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67DD0216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24A5EB5F" w14:textId="77777777" w:rsidR="00AF2079" w:rsidRPr="00A4278B" w:rsidRDefault="00F625C0" w:rsidP="00542922">
            <w:pPr>
              <w:rPr>
                <w:sz w:val="16"/>
                <w:szCs w:val="16"/>
              </w:rPr>
            </w:pPr>
            <w:r w:rsidRPr="00A4278B">
              <w:rPr>
                <w:sz w:val="16"/>
                <w:szCs w:val="16"/>
                <w:lang w:val="en-GB"/>
              </w:rPr>
              <w:t xml:space="preserve">Miroslav D.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Vujičić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Igor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Stamenković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Uglješa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Stankov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Sanja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Kovačić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Đorđije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A.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Vasiljević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and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Jasmina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Popov Locke (2020). What will prevail within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citybreak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travel, motivation or demotivation? Case study of Novi Sad,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Vojvodina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, Serbia.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Geographica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4278B">
              <w:rPr>
                <w:sz w:val="16"/>
                <w:szCs w:val="16"/>
                <w:lang w:val="en-GB"/>
              </w:rPr>
              <w:t>Pannonica</w:t>
            </w:r>
            <w:proofErr w:type="spellEnd"/>
            <w:r w:rsidRPr="00A4278B">
              <w:rPr>
                <w:sz w:val="16"/>
                <w:szCs w:val="16"/>
                <w:lang w:val="en-GB"/>
              </w:rPr>
              <w:t>, DOI: 10.5937/gp24-22613</w:t>
            </w:r>
          </w:p>
        </w:tc>
        <w:tc>
          <w:tcPr>
            <w:tcW w:w="471" w:type="pct"/>
            <w:vAlign w:val="center"/>
          </w:tcPr>
          <w:p w14:paraId="0C436C23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М2</w:t>
            </w:r>
            <w:r w:rsidR="00F625C0">
              <w:rPr>
                <w:sz w:val="16"/>
                <w:szCs w:val="16"/>
                <w:lang w:val="sr-Cyrl-CS"/>
              </w:rPr>
              <w:t>4</w:t>
            </w:r>
          </w:p>
        </w:tc>
      </w:tr>
      <w:tr w:rsidR="00AF2079" w:rsidRPr="000D2195" w14:paraId="16078BD6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18C041FD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22B04D6B" w14:textId="77777777" w:rsidR="00AF2079" w:rsidRPr="00A26074" w:rsidRDefault="00F625C0" w:rsidP="00F625C0">
            <w:pPr>
              <w:rPr>
                <w:sz w:val="16"/>
                <w:szCs w:val="16"/>
              </w:rPr>
            </w:pPr>
            <w:proofErr w:type="spellStart"/>
            <w:r w:rsidRPr="00F625C0">
              <w:rPr>
                <w:sz w:val="16"/>
                <w:szCs w:val="16"/>
                <w:lang w:val="en-GB"/>
              </w:rPr>
              <w:t>Božić</w:t>
            </w:r>
            <w:proofErr w:type="spellEnd"/>
            <w:r w:rsidRPr="00F625C0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F625C0">
              <w:rPr>
                <w:sz w:val="16"/>
                <w:szCs w:val="16"/>
                <w:lang w:val="en-GB"/>
              </w:rPr>
              <w:t>Vujičić</w:t>
            </w:r>
            <w:proofErr w:type="spellEnd"/>
            <w:r w:rsidRPr="00F625C0">
              <w:rPr>
                <w:sz w:val="16"/>
                <w:szCs w:val="16"/>
                <w:lang w:val="en-GB"/>
              </w:rPr>
              <w:t xml:space="preserve">, M.D., </w:t>
            </w:r>
            <w:proofErr w:type="spellStart"/>
            <w:r w:rsidRPr="00F625C0">
              <w:rPr>
                <w:sz w:val="16"/>
                <w:szCs w:val="16"/>
                <w:lang w:val="en-GB"/>
              </w:rPr>
              <w:t>Kennell</w:t>
            </w:r>
            <w:proofErr w:type="spellEnd"/>
            <w:r w:rsidRPr="00F625C0">
              <w:rPr>
                <w:sz w:val="16"/>
                <w:szCs w:val="16"/>
                <w:lang w:val="en-GB"/>
              </w:rPr>
              <w:t xml:space="preserve">, J., </w:t>
            </w:r>
            <w:proofErr w:type="spellStart"/>
            <w:r w:rsidRPr="00F625C0">
              <w:rPr>
                <w:sz w:val="16"/>
                <w:szCs w:val="16"/>
                <w:lang w:val="en-GB"/>
              </w:rPr>
              <w:t>Besermenji</w:t>
            </w:r>
            <w:proofErr w:type="spellEnd"/>
            <w:r w:rsidRPr="00F625C0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F625C0">
              <w:rPr>
                <w:sz w:val="16"/>
                <w:szCs w:val="16"/>
                <w:lang w:val="en-GB"/>
              </w:rPr>
              <w:t>Solarević</w:t>
            </w:r>
            <w:proofErr w:type="spellEnd"/>
            <w:r w:rsidRPr="00F625C0">
              <w:rPr>
                <w:sz w:val="16"/>
                <w:szCs w:val="16"/>
                <w:lang w:val="en-GB"/>
              </w:rPr>
              <w:t xml:space="preserve">, M. (2018). Sun, Sea and Shrines: Application of Analytic hierarchy process (AHP) to Assess the Attractiveness of Six Cultural Heritage Sites in Phuket (Thailand). </w:t>
            </w:r>
            <w:proofErr w:type="spellStart"/>
            <w:r w:rsidRPr="00F625C0">
              <w:rPr>
                <w:sz w:val="16"/>
                <w:szCs w:val="16"/>
                <w:lang w:val="en-GB"/>
              </w:rPr>
              <w:t>Geographica</w:t>
            </w:r>
            <w:proofErr w:type="spellEnd"/>
            <w:r w:rsidRPr="00F625C0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625C0">
              <w:rPr>
                <w:sz w:val="16"/>
                <w:szCs w:val="16"/>
                <w:lang w:val="en-GB"/>
              </w:rPr>
              <w:t>Pannonica</w:t>
            </w:r>
            <w:proofErr w:type="spellEnd"/>
            <w:r w:rsidRPr="00F625C0">
              <w:rPr>
                <w:sz w:val="16"/>
                <w:szCs w:val="16"/>
                <w:lang w:val="en-GB"/>
              </w:rPr>
              <w:t>, 22/2, 121-138, 0354-8724, DOI: 10.5937/22-16983</w:t>
            </w:r>
          </w:p>
        </w:tc>
        <w:tc>
          <w:tcPr>
            <w:tcW w:w="471" w:type="pct"/>
            <w:vAlign w:val="center"/>
          </w:tcPr>
          <w:p w14:paraId="6096D8C9" w14:textId="77777777" w:rsidR="00AF2079" w:rsidRPr="000D2195" w:rsidRDefault="00A4278B" w:rsidP="00542922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М24</w:t>
            </w:r>
          </w:p>
        </w:tc>
      </w:tr>
      <w:tr w:rsidR="00AF2079" w:rsidRPr="000D2195" w14:paraId="167ED326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3A8C4B09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33277E3F" w14:textId="77777777" w:rsidR="00AF2079" w:rsidRPr="000D2195" w:rsidRDefault="00A4278B" w:rsidP="00542922">
            <w:pPr>
              <w:rPr>
                <w:sz w:val="16"/>
                <w:szCs w:val="16"/>
              </w:rPr>
            </w:pPr>
            <w:r w:rsidRPr="00A4278B">
              <w:rPr>
                <w:sz w:val="16"/>
                <w:szCs w:val="16"/>
              </w:rPr>
              <w:t>Kalinić, Č., Vujičić M. (2019). A Subnational Assessment of Hotel Social Media Metrics – The Case of Serbia. Geographica Pannonica, 23/2, 87-101, ISSN: 0354-8724, DOI: 10.5937/gp23-19968</w:t>
            </w:r>
          </w:p>
        </w:tc>
        <w:tc>
          <w:tcPr>
            <w:tcW w:w="471" w:type="pct"/>
            <w:vAlign w:val="center"/>
          </w:tcPr>
          <w:p w14:paraId="0D2318E5" w14:textId="77777777" w:rsidR="00AF2079" w:rsidRPr="000D2195" w:rsidRDefault="00AF2079" w:rsidP="00542922">
            <w:pPr>
              <w:rPr>
                <w:sz w:val="16"/>
                <w:szCs w:val="16"/>
                <w:lang w:val="sr-Cyrl-CS"/>
              </w:rPr>
            </w:pPr>
            <w:r w:rsidRPr="000D2195">
              <w:rPr>
                <w:sz w:val="16"/>
                <w:szCs w:val="16"/>
                <w:lang w:val="sr-Cyrl-CS"/>
              </w:rPr>
              <w:t>М</w:t>
            </w:r>
            <w:r w:rsidR="00A4278B">
              <w:rPr>
                <w:sz w:val="16"/>
                <w:szCs w:val="16"/>
                <w:lang w:val="sr-Cyrl-CS"/>
              </w:rPr>
              <w:t>24</w:t>
            </w:r>
          </w:p>
        </w:tc>
      </w:tr>
      <w:tr w:rsidR="00AF2079" w:rsidRPr="000D2195" w14:paraId="33118601" w14:textId="77777777" w:rsidTr="00AF2079">
        <w:trPr>
          <w:trHeight w:val="320"/>
          <w:jc w:val="center"/>
        </w:trPr>
        <w:tc>
          <w:tcPr>
            <w:tcW w:w="202" w:type="pct"/>
            <w:vAlign w:val="center"/>
          </w:tcPr>
          <w:p w14:paraId="1A7716FF" w14:textId="77777777" w:rsidR="00AF2079" w:rsidRPr="000D2195" w:rsidRDefault="00AF2079" w:rsidP="00542922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4327" w:type="pct"/>
            <w:gridSpan w:val="9"/>
            <w:shd w:val="clear" w:color="auto" w:fill="auto"/>
          </w:tcPr>
          <w:p w14:paraId="65BA0555" w14:textId="77777777" w:rsidR="00AF2079" w:rsidRPr="000D2195" w:rsidRDefault="00A4278B" w:rsidP="00542922">
            <w:pPr>
              <w:rPr>
                <w:sz w:val="16"/>
                <w:szCs w:val="16"/>
              </w:rPr>
            </w:pPr>
            <w:proofErr w:type="spellStart"/>
            <w:r w:rsidRPr="00A26074">
              <w:rPr>
                <w:sz w:val="16"/>
                <w:szCs w:val="16"/>
                <w:lang w:val="en-GB"/>
              </w:rPr>
              <w:t>Vujičić</w:t>
            </w:r>
            <w:proofErr w:type="spellEnd"/>
            <w:r w:rsidRPr="00A26074">
              <w:rPr>
                <w:sz w:val="16"/>
                <w:szCs w:val="16"/>
                <w:lang w:val="en-GB"/>
              </w:rPr>
              <w:t>, D.M,</w:t>
            </w:r>
            <w:r w:rsidRPr="00A26074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26074">
              <w:rPr>
                <w:bCs/>
                <w:sz w:val="16"/>
                <w:szCs w:val="16"/>
                <w:lang w:val="en-GB"/>
              </w:rPr>
              <w:t>Stankov</w:t>
            </w:r>
            <w:proofErr w:type="spellEnd"/>
            <w:r w:rsidRPr="00A26074">
              <w:rPr>
                <w:bCs/>
                <w:sz w:val="16"/>
                <w:szCs w:val="16"/>
                <w:lang w:val="en-GB"/>
              </w:rPr>
              <w:t xml:space="preserve">, U., </w:t>
            </w:r>
            <w:proofErr w:type="spellStart"/>
            <w:r w:rsidRPr="00A26074">
              <w:rPr>
                <w:bCs/>
                <w:sz w:val="16"/>
                <w:szCs w:val="16"/>
                <w:lang w:val="en-GB"/>
              </w:rPr>
              <w:t>Kovačić</w:t>
            </w:r>
            <w:proofErr w:type="spellEnd"/>
            <w:r w:rsidRPr="00A26074">
              <w:rPr>
                <w:bCs/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A26074">
              <w:rPr>
                <w:bCs/>
                <w:sz w:val="16"/>
                <w:szCs w:val="16"/>
                <w:lang w:val="en-GB"/>
              </w:rPr>
              <w:t>Vasiljević</w:t>
            </w:r>
            <w:proofErr w:type="spellEnd"/>
            <w:r w:rsidRPr="00A26074">
              <w:rPr>
                <w:bCs/>
                <w:sz w:val="16"/>
                <w:szCs w:val="16"/>
                <w:lang w:val="en-GB"/>
              </w:rPr>
              <w:t xml:space="preserve">, A, Đ., </w:t>
            </w:r>
            <w:proofErr w:type="spellStart"/>
            <w:r w:rsidRPr="00A26074">
              <w:rPr>
                <w:bCs/>
                <w:sz w:val="16"/>
                <w:szCs w:val="16"/>
                <w:lang w:val="en-GB"/>
              </w:rPr>
              <w:t>Pivac</w:t>
            </w:r>
            <w:proofErr w:type="spellEnd"/>
            <w:r w:rsidRPr="00A26074">
              <w:rPr>
                <w:bCs/>
                <w:sz w:val="16"/>
                <w:szCs w:val="16"/>
                <w:lang w:val="en-GB"/>
              </w:rPr>
              <w:t xml:space="preserve">, T., </w:t>
            </w:r>
            <w:proofErr w:type="spellStart"/>
            <w:r w:rsidRPr="00A26074">
              <w:rPr>
                <w:bCs/>
                <w:sz w:val="16"/>
                <w:szCs w:val="16"/>
                <w:lang w:val="en-GB"/>
              </w:rPr>
              <w:t>Čakarić</w:t>
            </w:r>
            <w:proofErr w:type="spellEnd"/>
            <w:r w:rsidRPr="00A26074">
              <w:rPr>
                <w:bCs/>
                <w:sz w:val="16"/>
                <w:szCs w:val="16"/>
                <w:lang w:val="en-GB"/>
              </w:rPr>
              <w:t xml:space="preserve">, J., </w:t>
            </w:r>
            <w:proofErr w:type="spellStart"/>
            <w:r w:rsidRPr="00A26074">
              <w:rPr>
                <w:bCs/>
                <w:sz w:val="16"/>
                <w:szCs w:val="16"/>
                <w:lang w:val="en-GB"/>
              </w:rPr>
              <w:t>Mujkić</w:t>
            </w:r>
            <w:proofErr w:type="spellEnd"/>
            <w:r w:rsidRPr="00A26074">
              <w:rPr>
                <w:bCs/>
                <w:sz w:val="16"/>
                <w:szCs w:val="16"/>
                <w:lang w:val="en-GB"/>
              </w:rPr>
              <w:t xml:space="preserve">, D. </w:t>
            </w:r>
            <w:proofErr w:type="spellStart"/>
            <w:r w:rsidRPr="00A26074">
              <w:rPr>
                <w:bCs/>
                <w:sz w:val="16"/>
                <w:szCs w:val="16"/>
                <w:lang w:val="en-GB"/>
              </w:rPr>
              <w:t>Cimbaljević</w:t>
            </w:r>
            <w:proofErr w:type="spellEnd"/>
            <w:r w:rsidRPr="00A26074">
              <w:rPr>
                <w:bCs/>
                <w:sz w:val="16"/>
                <w:szCs w:val="16"/>
                <w:lang w:val="en-GB"/>
              </w:rPr>
              <w:t xml:space="preserve">. (2020). Digital skills and behaviours of youth relevant for digital culture - A two-country self-evaluation perspective. In Advances in Educational Technologies and Instructional Design book series “Examining the Roles of Teachers and Students in Mastering New Technologies” Eva </w:t>
            </w:r>
            <w:proofErr w:type="spellStart"/>
            <w:r w:rsidRPr="00A26074">
              <w:rPr>
                <w:bCs/>
                <w:sz w:val="16"/>
                <w:szCs w:val="16"/>
                <w:lang w:val="en-GB"/>
              </w:rPr>
              <w:t>Podovšovnik</w:t>
            </w:r>
            <w:proofErr w:type="spellEnd"/>
            <w:r w:rsidRPr="00A26074">
              <w:rPr>
                <w:bCs/>
                <w:sz w:val="16"/>
                <w:szCs w:val="16"/>
                <w:lang w:val="en-GB"/>
              </w:rPr>
              <w:t xml:space="preserve"> (editor). IGI Global. New York. pp 434. ISSN: 2326-8905, DOI:10.4018/978-1-7998-2104-5.ch006</w:t>
            </w:r>
          </w:p>
        </w:tc>
        <w:tc>
          <w:tcPr>
            <w:tcW w:w="471" w:type="pct"/>
            <w:vAlign w:val="center"/>
          </w:tcPr>
          <w:p w14:paraId="2C6B7FC5" w14:textId="77777777" w:rsidR="00AF2079" w:rsidRPr="000D2195" w:rsidRDefault="00AF2079" w:rsidP="00542922">
            <w:pPr>
              <w:rPr>
                <w:sz w:val="16"/>
                <w:szCs w:val="16"/>
              </w:rPr>
            </w:pPr>
            <w:r w:rsidRPr="000D2195">
              <w:rPr>
                <w:sz w:val="16"/>
                <w:szCs w:val="16"/>
              </w:rPr>
              <w:t>M14</w:t>
            </w:r>
          </w:p>
        </w:tc>
      </w:tr>
      <w:tr w:rsidR="00D677BD" w:rsidRPr="00F625C0" w14:paraId="5CA69348" w14:textId="77777777" w:rsidTr="00AF2079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424E9B3F" w14:textId="77777777" w:rsidR="00D677BD" w:rsidRPr="00F625C0" w:rsidRDefault="00D677BD" w:rsidP="00B86C8C">
            <w:pPr>
              <w:rPr>
                <w:sz w:val="16"/>
                <w:szCs w:val="16"/>
                <w:lang w:val="sr-Cyrl-CS"/>
              </w:rPr>
            </w:pPr>
            <w:r w:rsidRPr="00F625C0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D677BD" w:rsidRPr="00F625C0" w14:paraId="1E329ADF" w14:textId="77777777" w:rsidTr="00AF2079">
        <w:trPr>
          <w:trHeight w:val="320"/>
          <w:jc w:val="center"/>
        </w:trPr>
        <w:tc>
          <w:tcPr>
            <w:tcW w:w="3197" w:type="pct"/>
            <w:gridSpan w:val="7"/>
            <w:vAlign w:val="center"/>
          </w:tcPr>
          <w:p w14:paraId="7D6D115C" w14:textId="77777777" w:rsidR="00D677BD" w:rsidRPr="00F625C0" w:rsidRDefault="00D677BD" w:rsidP="00B86C8C">
            <w:pPr>
              <w:rPr>
                <w:sz w:val="16"/>
                <w:szCs w:val="16"/>
                <w:lang w:val="sr-Cyrl-CS"/>
              </w:rPr>
            </w:pPr>
            <w:r w:rsidRPr="00F625C0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803" w:type="pct"/>
            <w:gridSpan w:val="4"/>
            <w:vAlign w:val="center"/>
          </w:tcPr>
          <w:p w14:paraId="5C3FFF51" w14:textId="3B6FA077" w:rsidR="00D677BD" w:rsidRPr="00F625C0" w:rsidRDefault="000B4C00" w:rsidP="00B86C8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186</w:t>
            </w:r>
            <w:r w:rsidR="002671DB">
              <w:rPr>
                <w:sz w:val="16"/>
                <w:szCs w:val="16"/>
                <w:lang w:val="sr-Cyrl-CS"/>
              </w:rPr>
              <w:t xml:space="preserve"> (</w:t>
            </w:r>
            <w:r>
              <w:rPr>
                <w:sz w:val="16"/>
                <w:szCs w:val="16"/>
                <w:lang w:val="sr-Cyrl-CS"/>
              </w:rPr>
              <w:t>170</w:t>
            </w:r>
            <w:r w:rsidR="002671DB">
              <w:rPr>
                <w:sz w:val="16"/>
                <w:szCs w:val="16"/>
                <w:lang w:val="sr-Cyrl-CS"/>
              </w:rPr>
              <w:t>)</w:t>
            </w:r>
            <w:r w:rsidR="00AF2079" w:rsidRPr="00F625C0">
              <w:rPr>
                <w:sz w:val="16"/>
                <w:szCs w:val="16"/>
                <w:lang w:val="sr-Cyrl-CS"/>
              </w:rPr>
              <w:t xml:space="preserve"> </w:t>
            </w:r>
            <w:r w:rsidR="00AF2079" w:rsidRPr="00F625C0">
              <w:rPr>
                <w:sz w:val="16"/>
                <w:szCs w:val="16"/>
              </w:rPr>
              <w:t>(Scopus)</w:t>
            </w:r>
          </w:p>
        </w:tc>
      </w:tr>
      <w:tr w:rsidR="00D677BD" w:rsidRPr="00F625C0" w14:paraId="54F4EE54" w14:textId="77777777" w:rsidTr="00AF2079">
        <w:trPr>
          <w:trHeight w:val="320"/>
          <w:jc w:val="center"/>
        </w:trPr>
        <w:tc>
          <w:tcPr>
            <w:tcW w:w="3197" w:type="pct"/>
            <w:gridSpan w:val="7"/>
            <w:vAlign w:val="center"/>
          </w:tcPr>
          <w:p w14:paraId="166C2BB0" w14:textId="77777777" w:rsidR="00D677BD" w:rsidRPr="00F625C0" w:rsidRDefault="00D677BD" w:rsidP="00B86C8C">
            <w:pPr>
              <w:rPr>
                <w:sz w:val="16"/>
                <w:szCs w:val="16"/>
                <w:lang w:val="sr-Cyrl-CS"/>
              </w:rPr>
            </w:pPr>
            <w:r w:rsidRPr="00F625C0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803" w:type="pct"/>
            <w:gridSpan w:val="4"/>
            <w:vAlign w:val="center"/>
          </w:tcPr>
          <w:p w14:paraId="4ED4CE23" w14:textId="77777777" w:rsidR="00D677BD" w:rsidRPr="00F625C0" w:rsidRDefault="00AF2079" w:rsidP="00B86C8C">
            <w:pPr>
              <w:rPr>
                <w:sz w:val="16"/>
                <w:szCs w:val="16"/>
                <w:lang w:val="sr-Cyrl-CS"/>
              </w:rPr>
            </w:pPr>
            <w:r w:rsidRPr="00F625C0">
              <w:rPr>
                <w:sz w:val="16"/>
                <w:szCs w:val="16"/>
                <w:lang w:val="sr-Cyrl-CS"/>
              </w:rPr>
              <w:t>1</w:t>
            </w:r>
            <w:r w:rsidR="00A26074" w:rsidRPr="00F625C0">
              <w:rPr>
                <w:sz w:val="16"/>
                <w:szCs w:val="16"/>
                <w:lang w:val="sr-Cyrl-CS"/>
              </w:rPr>
              <w:t>4</w:t>
            </w:r>
          </w:p>
        </w:tc>
      </w:tr>
      <w:tr w:rsidR="00D677BD" w:rsidRPr="00F625C0" w14:paraId="5D23AC85" w14:textId="77777777" w:rsidTr="00AF2079">
        <w:trPr>
          <w:trHeight w:val="320"/>
          <w:jc w:val="center"/>
        </w:trPr>
        <w:tc>
          <w:tcPr>
            <w:tcW w:w="3197" w:type="pct"/>
            <w:gridSpan w:val="7"/>
            <w:vAlign w:val="center"/>
          </w:tcPr>
          <w:p w14:paraId="5367EFA5" w14:textId="77777777" w:rsidR="00D677BD" w:rsidRPr="00F625C0" w:rsidRDefault="00D677BD" w:rsidP="00B86C8C">
            <w:pPr>
              <w:rPr>
                <w:sz w:val="16"/>
                <w:szCs w:val="16"/>
                <w:lang w:val="sr-Cyrl-CS"/>
              </w:rPr>
            </w:pPr>
            <w:r w:rsidRPr="00F625C0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648" w:type="pct"/>
            <w:vAlign w:val="center"/>
          </w:tcPr>
          <w:p w14:paraId="556172B1" w14:textId="77777777" w:rsidR="00D677BD" w:rsidRPr="00F625C0" w:rsidRDefault="00D677BD" w:rsidP="00B86C8C">
            <w:pPr>
              <w:rPr>
                <w:sz w:val="16"/>
                <w:szCs w:val="16"/>
                <w:lang w:val="sr-Cyrl-CS"/>
              </w:rPr>
            </w:pPr>
            <w:r w:rsidRPr="00F625C0">
              <w:rPr>
                <w:sz w:val="16"/>
                <w:szCs w:val="16"/>
                <w:lang w:val="sr-Cyrl-CS"/>
              </w:rPr>
              <w:t>Домаћи</w:t>
            </w:r>
            <w:r w:rsidR="00AF2079" w:rsidRPr="00F625C0">
              <w:rPr>
                <w:sz w:val="16"/>
                <w:szCs w:val="16"/>
                <w:lang w:val="sr-Cyrl-CS"/>
              </w:rPr>
              <w:t xml:space="preserve"> 1</w:t>
            </w:r>
          </w:p>
        </w:tc>
        <w:tc>
          <w:tcPr>
            <w:tcW w:w="1156" w:type="pct"/>
            <w:gridSpan w:val="3"/>
            <w:vAlign w:val="center"/>
          </w:tcPr>
          <w:p w14:paraId="1679E3C5" w14:textId="77777777" w:rsidR="00D677BD" w:rsidRPr="00F625C0" w:rsidRDefault="00D677BD" w:rsidP="00B86C8C">
            <w:pPr>
              <w:rPr>
                <w:sz w:val="16"/>
                <w:szCs w:val="16"/>
                <w:lang w:val="en-US"/>
              </w:rPr>
            </w:pPr>
            <w:r w:rsidRPr="00F625C0">
              <w:rPr>
                <w:sz w:val="16"/>
                <w:szCs w:val="16"/>
                <w:lang w:val="sr-Cyrl-CS"/>
              </w:rPr>
              <w:t>Међународни</w:t>
            </w:r>
            <w:r w:rsidR="00AF2079" w:rsidRPr="00F625C0">
              <w:rPr>
                <w:sz w:val="16"/>
                <w:szCs w:val="16"/>
                <w:lang w:val="sr-Cyrl-CS"/>
              </w:rPr>
              <w:t xml:space="preserve"> </w:t>
            </w:r>
            <w:r w:rsidR="00A26074" w:rsidRPr="00F625C0">
              <w:rPr>
                <w:sz w:val="16"/>
                <w:szCs w:val="16"/>
                <w:lang w:val="sr-Cyrl-CS"/>
              </w:rPr>
              <w:t>3</w:t>
            </w:r>
            <w:bookmarkStart w:id="0" w:name="_GoBack"/>
            <w:bookmarkEnd w:id="0"/>
          </w:p>
        </w:tc>
      </w:tr>
      <w:tr w:rsidR="00D677BD" w:rsidRPr="00F625C0" w14:paraId="0B768A4A" w14:textId="77777777" w:rsidTr="00AF2079">
        <w:trPr>
          <w:trHeight w:val="320"/>
          <w:jc w:val="center"/>
        </w:trPr>
        <w:tc>
          <w:tcPr>
            <w:tcW w:w="3197" w:type="pct"/>
            <w:gridSpan w:val="7"/>
            <w:vAlign w:val="center"/>
          </w:tcPr>
          <w:p w14:paraId="3C9E4DBF" w14:textId="77777777" w:rsidR="00D677BD" w:rsidRPr="00F625C0" w:rsidRDefault="00D677BD" w:rsidP="00B86C8C">
            <w:pPr>
              <w:rPr>
                <w:sz w:val="16"/>
                <w:szCs w:val="16"/>
                <w:lang w:val="sr-Cyrl-CS"/>
              </w:rPr>
            </w:pPr>
            <w:r w:rsidRPr="00F625C0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803" w:type="pct"/>
            <w:gridSpan w:val="4"/>
            <w:vAlign w:val="center"/>
          </w:tcPr>
          <w:p w14:paraId="201973A7" w14:textId="4AC2AF26" w:rsidR="00D677BD" w:rsidRPr="00F625C0" w:rsidRDefault="00F721CD" w:rsidP="00B86C8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Наставна мобилност</w:t>
            </w:r>
            <w:r w:rsidR="00F625C0" w:rsidRPr="00F625C0">
              <w:rPr>
                <w:sz w:val="16"/>
                <w:szCs w:val="16"/>
                <w:lang w:val="sr-Cyrl-CS"/>
              </w:rPr>
              <w:t xml:space="preserve"> у Најмегену (Холандија), Брага (Португал), Орадеа (Румунија)</w:t>
            </w:r>
          </w:p>
        </w:tc>
      </w:tr>
      <w:tr w:rsidR="00D677BD" w:rsidRPr="00F625C0" w14:paraId="7461BA95" w14:textId="77777777" w:rsidTr="00AF2079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5DA3EA56" w14:textId="77777777" w:rsidR="00D677BD" w:rsidRPr="00F625C0" w:rsidRDefault="00D677BD" w:rsidP="00B86C8C">
            <w:pPr>
              <w:rPr>
                <w:sz w:val="16"/>
                <w:szCs w:val="16"/>
                <w:lang w:val="sr-Cyrl-CS"/>
              </w:rPr>
            </w:pPr>
            <w:r w:rsidRPr="00F625C0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14:paraId="643FE20F" w14:textId="77777777" w:rsidR="00423263" w:rsidRDefault="00423263"/>
    <w:sectPr w:rsidR="00423263" w:rsidSect="00F625C0">
      <w:pgSz w:w="11909" w:h="16834" w:code="9"/>
      <w:pgMar w:top="950" w:right="1440" w:bottom="101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22AB9"/>
    <w:multiLevelType w:val="hybridMultilevel"/>
    <w:tmpl w:val="E1040DA2"/>
    <w:lvl w:ilvl="0" w:tplc="5DF6081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5203"/>
    <w:rsid w:val="000B4C00"/>
    <w:rsid w:val="000E0E7F"/>
    <w:rsid w:val="002671DB"/>
    <w:rsid w:val="002A1375"/>
    <w:rsid w:val="002F4E0B"/>
    <w:rsid w:val="00423263"/>
    <w:rsid w:val="007C7BE6"/>
    <w:rsid w:val="00A26074"/>
    <w:rsid w:val="00A4278B"/>
    <w:rsid w:val="00AF2079"/>
    <w:rsid w:val="00D677BD"/>
    <w:rsid w:val="00D713C1"/>
    <w:rsid w:val="00DC5203"/>
    <w:rsid w:val="00EB1EB7"/>
    <w:rsid w:val="00F625C0"/>
    <w:rsid w:val="00F72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A6C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0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278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27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756</Words>
  <Characters>4315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Microsoft Office User</cp:lastModifiedBy>
  <cp:revision>8</cp:revision>
  <dcterms:created xsi:type="dcterms:W3CDTF">2020-05-07T14:57:00Z</dcterms:created>
  <dcterms:modified xsi:type="dcterms:W3CDTF">2020-05-25T19:58:00Z</dcterms:modified>
</cp:coreProperties>
</file>