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7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73"/>
        <w:gridCol w:w="2881"/>
        <w:gridCol w:w="3819"/>
        <w:tblGridChange w:id="0">
          <w:tblGrid>
            <w:gridCol w:w="2873"/>
            <w:gridCol w:w="2881"/>
            <w:gridCol w:w="3819"/>
          </w:tblGrid>
        </w:tblGridChange>
      </w:tblGrid>
      <w:tr>
        <w:trPr>
          <w:cantSplit w:val="0"/>
          <w:trHeight w:val="227" w:hRule="atLeast"/>
          <w:tblHeader w:val="0"/>
        </w:trPr>
        <w:tc>
          <w:tcPr>
            <w:gridSpan w:val="3"/>
          </w:tcPr>
          <w:p w:rsidR="00000000" w:rsidDel="00000000" w:rsidP="00000000" w:rsidRDefault="00000000" w:rsidRPr="00000000" w14:paraId="00000002">
            <w:pPr>
              <w:jc w:val="both"/>
              <w:rPr>
                <w:sz w:val="22"/>
                <w:szCs w:val="22"/>
              </w:rPr>
            </w:pPr>
            <w:r w:rsidDel="00000000" w:rsidR="00000000" w:rsidRPr="00000000">
              <w:rPr>
                <w:b w:val="1"/>
                <w:sz w:val="22"/>
                <w:szCs w:val="22"/>
                <w:rtl w:val="0"/>
              </w:rPr>
              <w:t xml:space="preserve">Назив предмета: Ризиции природне непогодеу географској средини</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05">
            <w:pPr>
              <w:jc w:val="both"/>
              <w:rPr>
                <w:b w:val="1"/>
                <w:sz w:val="22"/>
                <w:szCs w:val="22"/>
              </w:rPr>
            </w:pPr>
            <w:r w:rsidDel="00000000" w:rsidR="00000000" w:rsidRPr="00000000">
              <w:rPr>
                <w:b w:val="1"/>
                <w:sz w:val="22"/>
                <w:szCs w:val="22"/>
                <w:rtl w:val="0"/>
              </w:rPr>
              <w:t xml:space="preserve">Наставник или наставници:</w:t>
            </w:r>
            <w:hyperlink r:id="rId6">
              <w:r w:rsidDel="00000000" w:rsidR="00000000" w:rsidRPr="00000000">
                <w:rPr>
                  <w:color w:val="0563c1"/>
                  <w:sz w:val="22"/>
                  <w:szCs w:val="22"/>
                  <w:u w:val="single"/>
                  <w:rtl w:val="0"/>
                </w:rPr>
                <w:t xml:space="preserve">Драгослав Павић</w:t>
              </w:r>
            </w:hyperlink>
            <w:r w:rsidDel="00000000" w:rsidR="00000000" w:rsidRPr="00000000">
              <w:rPr>
                <w:sz w:val="22"/>
                <w:szCs w:val="22"/>
                <w:rtl w:val="0"/>
              </w:rPr>
              <w:t xml:space="preserve">, </w:t>
            </w:r>
            <w:hyperlink r:id="rId7">
              <w:r w:rsidDel="00000000" w:rsidR="00000000" w:rsidRPr="00000000">
                <w:rPr>
                  <w:color w:val="0563c1"/>
                  <w:sz w:val="22"/>
                  <w:szCs w:val="22"/>
                  <w:u w:val="single"/>
                  <w:rtl w:val="0"/>
                </w:rPr>
                <w:t xml:space="preserve">Тин Лукић</w:t>
              </w:r>
            </w:hyperlink>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08">
            <w:pPr>
              <w:jc w:val="both"/>
              <w:rPr>
                <w:sz w:val="22"/>
                <w:szCs w:val="22"/>
              </w:rPr>
            </w:pPr>
            <w:r w:rsidDel="00000000" w:rsidR="00000000" w:rsidRPr="00000000">
              <w:rPr>
                <w:b w:val="1"/>
                <w:sz w:val="22"/>
                <w:szCs w:val="22"/>
                <w:rtl w:val="0"/>
              </w:rPr>
              <w:t xml:space="preserve">Статус предмета:</w:t>
            </w:r>
            <w:r w:rsidDel="00000000" w:rsidR="00000000" w:rsidRPr="00000000">
              <w:rPr>
                <w:sz w:val="22"/>
                <w:szCs w:val="22"/>
                <w:rtl w:val="0"/>
              </w:rPr>
              <w:t xml:space="preserve">изборни</w:t>
            </w:r>
          </w:p>
        </w:tc>
      </w:tr>
      <w:tr>
        <w:trPr>
          <w:cantSplit w:val="0"/>
          <w:trHeight w:val="227" w:hRule="atLeast"/>
          <w:tblHeader w:val="0"/>
        </w:trPr>
        <w:tc>
          <w:tcPr>
            <w:gridSpan w:val="3"/>
          </w:tcPr>
          <w:p w:rsidR="00000000" w:rsidDel="00000000" w:rsidP="00000000" w:rsidRDefault="00000000" w:rsidRPr="00000000" w14:paraId="0000000B">
            <w:pPr>
              <w:jc w:val="both"/>
              <w:rPr>
                <w:sz w:val="22"/>
                <w:szCs w:val="22"/>
              </w:rPr>
            </w:pPr>
            <w:r w:rsidDel="00000000" w:rsidR="00000000" w:rsidRPr="00000000">
              <w:rPr>
                <w:b w:val="1"/>
                <w:sz w:val="22"/>
                <w:szCs w:val="22"/>
                <w:rtl w:val="0"/>
              </w:rPr>
              <w:t xml:space="preserve">Број ЕСПБ:</w:t>
            </w:r>
            <w:r w:rsidDel="00000000" w:rsidR="00000000" w:rsidRPr="00000000">
              <w:rPr>
                <w:sz w:val="22"/>
                <w:szCs w:val="22"/>
                <w:rtl w:val="0"/>
              </w:rPr>
              <w:t xml:space="preserve">15</w:t>
            </w:r>
          </w:p>
        </w:tc>
      </w:tr>
      <w:tr>
        <w:trPr>
          <w:cantSplit w:val="0"/>
          <w:trHeight w:val="227" w:hRule="atLeast"/>
          <w:tblHeader w:val="0"/>
        </w:trPr>
        <w:tc>
          <w:tcPr>
            <w:gridSpan w:val="3"/>
          </w:tcPr>
          <w:p w:rsidR="00000000" w:rsidDel="00000000" w:rsidP="00000000" w:rsidRDefault="00000000" w:rsidRPr="00000000" w14:paraId="0000000E">
            <w:pPr>
              <w:jc w:val="both"/>
              <w:rPr>
                <w:sz w:val="22"/>
                <w:szCs w:val="22"/>
              </w:rPr>
            </w:pPr>
            <w:r w:rsidDel="00000000" w:rsidR="00000000" w:rsidRPr="00000000">
              <w:rPr>
                <w:b w:val="1"/>
                <w:sz w:val="22"/>
                <w:szCs w:val="22"/>
                <w:rtl w:val="0"/>
              </w:rPr>
              <w:t xml:space="preserve">Услов: -</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11">
            <w:pPr>
              <w:jc w:val="both"/>
              <w:rPr>
                <w:b w:val="1"/>
                <w:sz w:val="22"/>
                <w:szCs w:val="22"/>
              </w:rPr>
            </w:pPr>
            <w:r w:rsidDel="00000000" w:rsidR="00000000" w:rsidRPr="00000000">
              <w:rPr>
                <w:b w:val="1"/>
                <w:sz w:val="22"/>
                <w:szCs w:val="22"/>
                <w:rtl w:val="0"/>
              </w:rPr>
              <w:t xml:space="preserve">Циљ предмета</w:t>
            </w:r>
          </w:p>
          <w:p w:rsidR="00000000" w:rsidDel="00000000" w:rsidP="00000000" w:rsidRDefault="00000000" w:rsidRPr="00000000" w14:paraId="00000012">
            <w:pPr>
              <w:jc w:val="both"/>
              <w:rPr>
                <w:b w:val="1"/>
                <w:sz w:val="22"/>
                <w:szCs w:val="22"/>
              </w:rPr>
            </w:pPr>
            <w:r w:rsidDel="00000000" w:rsidR="00000000" w:rsidRPr="00000000">
              <w:rPr>
                <w:rtl w:val="0"/>
              </w:rPr>
              <w:t xml:space="preserve">Циљ предмета је да докторанди усаврше знања осавременом појму ризикаодприродних непогода и ванредних догађаја, њиховим узроцима, распростањености, штетама/користима, санацији, заштити и предвиђању.</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15">
            <w:pPr>
              <w:jc w:val="both"/>
              <w:rPr>
                <w:b w:val="1"/>
                <w:sz w:val="22"/>
                <w:szCs w:val="22"/>
              </w:rPr>
            </w:pPr>
            <w:r w:rsidDel="00000000" w:rsidR="00000000" w:rsidRPr="00000000">
              <w:rPr>
                <w:b w:val="1"/>
                <w:sz w:val="22"/>
                <w:szCs w:val="22"/>
                <w:rtl w:val="0"/>
              </w:rPr>
              <w:t xml:space="preserve">Исход предмета </w:t>
            </w:r>
          </w:p>
          <w:p w:rsidR="00000000" w:rsidDel="00000000" w:rsidP="00000000" w:rsidRDefault="00000000" w:rsidRPr="00000000" w14:paraId="00000016">
            <w:pPr>
              <w:jc w:val="both"/>
              <w:rPr>
                <w:b w:val="1"/>
                <w:sz w:val="22"/>
                <w:szCs w:val="22"/>
              </w:rPr>
            </w:pPr>
            <w:r w:rsidDel="00000000" w:rsidR="00000000" w:rsidRPr="00000000">
              <w:rPr>
                <w:rtl w:val="0"/>
              </w:rPr>
              <w:t xml:space="preserve">Стечено знање ће омогућити објективно анализирање проблематике ризика одприроднихнепогодаи узроковања ванредних ситуација на различитим нивоима цивилног друштва,са различитих аспеката, подизање свести људских заједница ради смањења негативног утицаја ризика од природних непогода и помоћ заједницама да се супротставе и/или ублаже и/или предупреде деловање самихакцидената који доводе до различитих последица у случају ванредних ситуација узрокованих природним непогодама.</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19">
            <w:pPr>
              <w:jc w:val="both"/>
              <w:rPr>
                <w:b w:val="1"/>
                <w:sz w:val="22"/>
                <w:szCs w:val="22"/>
              </w:rPr>
            </w:pPr>
            <w:r w:rsidDel="00000000" w:rsidR="00000000" w:rsidRPr="00000000">
              <w:rPr>
                <w:b w:val="1"/>
                <w:sz w:val="22"/>
                <w:szCs w:val="22"/>
                <w:rtl w:val="0"/>
              </w:rPr>
              <w:t xml:space="preserve">Садржај предмета</w:t>
            </w:r>
          </w:p>
          <w:p w:rsidR="00000000" w:rsidDel="00000000" w:rsidP="00000000" w:rsidRDefault="00000000" w:rsidRPr="00000000" w14:paraId="0000001A">
            <w:pPr>
              <w:jc w:val="both"/>
              <w:rPr>
                <w:i w:val="1"/>
              </w:rPr>
            </w:pPr>
            <w:r w:rsidDel="00000000" w:rsidR="00000000" w:rsidRPr="00000000">
              <w:rPr>
                <w:i w:val="1"/>
                <w:rtl w:val="0"/>
              </w:rPr>
              <w:t xml:space="preserve">Теоријска настава</w:t>
            </w:r>
            <w:r w:rsidDel="00000000" w:rsidR="00000000" w:rsidRPr="00000000">
              <w:rPr>
                <w:rtl w:val="0"/>
              </w:rPr>
              <w:t xml:space="preserve">: Уводна разматрања. Природне непогоде, ризици и ванредне ситуације у географској средини као наставно-научна дисциплина.Дефинисање, класификација и место природних непогода, ризика и ванредних ситуација у систему географских наука. Појмовно одређење природних непогода, ризика,хазарда, рањивости, ванредног догађајаи ванредне ситуације.Просторна дистрибуција и анализа природних непогода. Упознавање са главним групама природних (елементарних) непогода према савременим дефиницијама: геофизичке, хидролошке, климатолошке, метеоролошке, биолошке и астрономске.Савремене методе проучавања природних (елементарних) непогода и акциденталних ризика на ралзичитим просторним нивоима. Рангирање, мониторинг, санација, предвиђање и мере заштите од изложености деловања природних непогодана глобалном, регионалном и националном нивоу. Природне непогоде и ванредне ситуације у Републици Србији: легислативни оквир и мере за смањење ризика. Међународна сарадња у циљу опоравка и рехабилитације угрожених подручја од природних непогода. Значај проучавања природних непогода и ризика у контексту одрживог развоја.</w:t>
            </w:r>
            <w:r w:rsidDel="00000000" w:rsidR="00000000" w:rsidRPr="00000000">
              <w:rPr>
                <w:rtl w:val="0"/>
              </w:rPr>
            </w:r>
          </w:p>
          <w:p w:rsidR="00000000" w:rsidDel="00000000" w:rsidP="00000000" w:rsidRDefault="00000000" w:rsidRPr="00000000" w14:paraId="0000001B">
            <w:pPr>
              <w:jc w:val="both"/>
              <w:rPr>
                <w:i w:val="1"/>
                <w:sz w:val="22"/>
                <w:szCs w:val="22"/>
              </w:rPr>
            </w:pPr>
            <w:r w:rsidDel="00000000" w:rsidR="00000000" w:rsidRPr="00000000">
              <w:rPr>
                <w:i w:val="1"/>
                <w:rtl w:val="0"/>
              </w:rPr>
              <w:t xml:space="preserve">Практична настава</w:t>
            </w:r>
            <w:r w:rsidDel="00000000" w:rsidR="00000000" w:rsidRPr="00000000">
              <w:rPr>
                <w:rtl w:val="0"/>
              </w:rPr>
              <w:t xml:space="preserve">:Припрема и вођење студената кроз израдунаучног пројекта. Теренски рад.</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1E">
            <w:pPr>
              <w:jc w:val="both"/>
              <w:rPr>
                <w:b w:val="1"/>
                <w:sz w:val="22"/>
                <w:szCs w:val="22"/>
              </w:rPr>
            </w:pPr>
            <w:r w:rsidDel="00000000" w:rsidR="00000000" w:rsidRPr="00000000">
              <w:rPr>
                <w:b w:val="1"/>
                <w:sz w:val="22"/>
                <w:szCs w:val="22"/>
                <w:rtl w:val="0"/>
              </w:rPr>
              <w:t xml:space="preserve">Препоручена литература </w:t>
            </w:r>
          </w:p>
          <w:p w:rsidR="00000000" w:rsidDel="00000000" w:rsidP="00000000" w:rsidRDefault="00000000" w:rsidRPr="00000000" w14:paraId="0000001F">
            <w:pPr>
              <w:widowControl w:val="1"/>
              <w:numPr>
                <w:ilvl w:val="0"/>
                <w:numId w:val="1"/>
              </w:numPr>
              <w:ind w:left="714" w:hanging="357"/>
              <w:jc w:val="both"/>
              <w:rPr/>
            </w:pPr>
            <w:r w:rsidDel="00000000" w:rsidR="00000000" w:rsidRPr="00000000">
              <w:rPr>
                <w:rtl w:val="0"/>
              </w:rPr>
              <w:t xml:space="preserve">Abbott, P. (2012). </w:t>
            </w:r>
            <w:r w:rsidDel="00000000" w:rsidR="00000000" w:rsidRPr="00000000">
              <w:rPr>
                <w:i w:val="1"/>
                <w:rtl w:val="0"/>
              </w:rPr>
              <w:t xml:space="preserve">Natural Disasters</w:t>
            </w:r>
            <w:r w:rsidDel="00000000" w:rsidR="00000000" w:rsidRPr="00000000">
              <w:rPr>
                <w:rtl w:val="0"/>
              </w:rPr>
              <w:t xml:space="preserve"> (8</w:t>
            </w:r>
            <w:r w:rsidDel="00000000" w:rsidR="00000000" w:rsidRPr="00000000">
              <w:rPr>
                <w:vertAlign w:val="superscript"/>
                <w:rtl w:val="0"/>
              </w:rPr>
              <w:t xml:space="preserve">th</w:t>
            </w:r>
            <w:r w:rsidDel="00000000" w:rsidR="00000000" w:rsidRPr="00000000">
              <w:rPr>
                <w:rtl w:val="0"/>
              </w:rPr>
              <w:t xml:space="preserve"> Edition), McGraw-Hill, New York: 469 pp.</w:t>
            </w:r>
          </w:p>
          <w:p w:rsidR="00000000" w:rsidDel="00000000" w:rsidP="00000000" w:rsidRDefault="00000000" w:rsidRPr="00000000" w14:paraId="00000020">
            <w:pPr>
              <w:widowControl w:val="1"/>
              <w:numPr>
                <w:ilvl w:val="0"/>
                <w:numId w:val="1"/>
              </w:numPr>
              <w:ind w:left="714" w:hanging="357"/>
              <w:jc w:val="both"/>
              <w:rPr/>
            </w:pPr>
            <w:r w:rsidDel="00000000" w:rsidR="00000000" w:rsidRPr="00000000">
              <w:rPr>
                <w:rtl w:val="0"/>
              </w:rPr>
              <w:t xml:space="preserve">Alcántara-Ayala, I. (2002).Geomorphology, natural hazards, vulnerability and preventionof natural disasters in developing countries.</w:t>
            </w:r>
            <w:r w:rsidDel="00000000" w:rsidR="00000000" w:rsidRPr="00000000">
              <w:rPr>
                <w:i w:val="1"/>
                <w:rtl w:val="0"/>
              </w:rPr>
              <w:t xml:space="preserve">Geomorphology</w:t>
            </w:r>
            <w:r w:rsidDel="00000000" w:rsidR="00000000" w:rsidRPr="00000000">
              <w:rPr>
                <w:rtl w:val="0"/>
              </w:rPr>
              <w:t xml:space="preserve"> 47(1-2): 107-124. </w:t>
            </w:r>
          </w:p>
          <w:p w:rsidR="00000000" w:rsidDel="00000000" w:rsidP="00000000" w:rsidRDefault="00000000" w:rsidRPr="00000000" w14:paraId="00000021">
            <w:pPr>
              <w:widowControl w:val="1"/>
              <w:numPr>
                <w:ilvl w:val="0"/>
                <w:numId w:val="1"/>
              </w:numPr>
              <w:ind w:left="714" w:hanging="357"/>
              <w:jc w:val="both"/>
              <w:rPr/>
            </w:pPr>
            <w:r w:rsidDel="00000000" w:rsidR="00000000" w:rsidRPr="00000000">
              <w:rPr>
                <w:rtl w:val="0"/>
              </w:rPr>
              <w:t xml:space="preserve">Alexander D.E. (1993). </w:t>
            </w:r>
            <w:r w:rsidDel="00000000" w:rsidR="00000000" w:rsidRPr="00000000">
              <w:rPr>
                <w:i w:val="1"/>
                <w:rtl w:val="0"/>
              </w:rPr>
              <w:t xml:space="preserve">Natural Disasters</w:t>
            </w:r>
            <w:r w:rsidDel="00000000" w:rsidR="00000000" w:rsidRPr="00000000">
              <w:rPr>
                <w:rtl w:val="0"/>
              </w:rPr>
              <w:t xml:space="preserve">. UCL Press, London, Chapman &amp; Hall, New York, 632 pp.</w:t>
            </w:r>
          </w:p>
          <w:p w:rsidR="00000000" w:rsidDel="00000000" w:rsidP="00000000" w:rsidRDefault="00000000" w:rsidRPr="00000000" w14:paraId="00000022">
            <w:pPr>
              <w:widowControl w:val="1"/>
              <w:numPr>
                <w:ilvl w:val="0"/>
                <w:numId w:val="1"/>
              </w:numPr>
              <w:ind w:left="714" w:hanging="357"/>
              <w:jc w:val="both"/>
              <w:rPr/>
            </w:pPr>
            <w:r w:rsidDel="00000000" w:rsidR="00000000" w:rsidRPr="00000000">
              <w:rPr>
                <w:rtl w:val="0"/>
              </w:rPr>
              <w:t xml:space="preserve">Blaikie, P., Cannon T., Davis I., and Wisner B. (2014). </w:t>
            </w:r>
            <w:r w:rsidDel="00000000" w:rsidR="00000000" w:rsidRPr="00000000">
              <w:rPr>
                <w:i w:val="1"/>
                <w:rtl w:val="0"/>
              </w:rPr>
              <w:t xml:space="preserve">At Risk: Natural Hazards, People’s Vulnerability and Disasters</w:t>
            </w:r>
            <w:r w:rsidDel="00000000" w:rsidR="00000000" w:rsidRPr="00000000">
              <w:rPr>
                <w:rtl w:val="0"/>
              </w:rPr>
              <w:t xml:space="preserve">. Routledge, London, 496 pp.</w:t>
            </w:r>
          </w:p>
          <w:p w:rsidR="00000000" w:rsidDel="00000000" w:rsidP="00000000" w:rsidRDefault="00000000" w:rsidRPr="00000000" w14:paraId="00000023">
            <w:pPr>
              <w:widowControl w:val="1"/>
              <w:numPr>
                <w:ilvl w:val="0"/>
                <w:numId w:val="1"/>
              </w:numPr>
              <w:ind w:left="714" w:hanging="357"/>
              <w:jc w:val="both"/>
              <w:rPr/>
            </w:pPr>
            <w:r w:rsidDel="00000000" w:rsidR="00000000" w:rsidRPr="00000000">
              <w:rPr>
                <w:rtl w:val="0"/>
              </w:rPr>
              <w:t xml:space="preserve">Challoner, J. (2000). </w:t>
            </w:r>
            <w:r w:rsidDel="00000000" w:rsidR="00000000" w:rsidRPr="00000000">
              <w:rPr>
                <w:i w:val="1"/>
                <w:rtl w:val="0"/>
              </w:rPr>
              <w:t xml:space="preserve">Hurricane and Tornado</w:t>
            </w:r>
            <w:r w:rsidDel="00000000" w:rsidR="00000000" w:rsidRPr="00000000">
              <w:rPr>
                <w:rtl w:val="0"/>
              </w:rPr>
              <w:t xml:space="preserve">. Dorling Kindersley. London: 61 pp.</w:t>
            </w:r>
          </w:p>
          <w:p w:rsidR="00000000" w:rsidDel="00000000" w:rsidP="00000000" w:rsidRDefault="00000000" w:rsidRPr="00000000" w14:paraId="00000024">
            <w:pPr>
              <w:widowControl w:val="1"/>
              <w:numPr>
                <w:ilvl w:val="0"/>
                <w:numId w:val="1"/>
              </w:numPr>
              <w:ind w:left="714" w:hanging="357"/>
              <w:jc w:val="both"/>
              <w:rPr/>
            </w:pPr>
            <w:r w:rsidDel="00000000" w:rsidR="00000000" w:rsidRPr="00000000">
              <w:rPr>
                <w:rtl w:val="0"/>
              </w:rPr>
              <w:t xml:space="preserve">Драгићевић, С., Филиповић, Д. (2016). </w:t>
            </w:r>
            <w:r w:rsidDel="00000000" w:rsidR="00000000" w:rsidRPr="00000000">
              <w:rPr>
                <w:i w:val="1"/>
                <w:rtl w:val="0"/>
              </w:rPr>
              <w:t xml:space="preserve">Природни услови и непогоде у планирању и заштити простора</w:t>
            </w:r>
            <w:r w:rsidDel="00000000" w:rsidR="00000000" w:rsidRPr="00000000">
              <w:rPr>
                <w:rtl w:val="0"/>
              </w:rPr>
              <w:t xml:space="preserve">. Географски факултет, Београд: 1-298.</w:t>
            </w:r>
          </w:p>
          <w:p w:rsidR="00000000" w:rsidDel="00000000" w:rsidP="00000000" w:rsidRDefault="00000000" w:rsidRPr="00000000" w14:paraId="00000025">
            <w:pPr>
              <w:widowControl w:val="1"/>
              <w:numPr>
                <w:ilvl w:val="0"/>
                <w:numId w:val="1"/>
              </w:numPr>
              <w:ind w:left="714" w:hanging="357"/>
              <w:jc w:val="both"/>
              <w:rPr/>
            </w:pPr>
            <w:r w:rsidDel="00000000" w:rsidR="00000000" w:rsidRPr="00000000">
              <w:rPr>
                <w:rtl w:val="0"/>
              </w:rPr>
              <w:t xml:space="preserve">Mlađan, D. (2015). Bezbednost u vanrednim situacijama. Kriminalističko-policijska akademija, Beograd: 1-449.</w:t>
            </w:r>
          </w:p>
          <w:p w:rsidR="00000000" w:rsidDel="00000000" w:rsidP="00000000" w:rsidRDefault="00000000" w:rsidRPr="00000000" w14:paraId="00000026">
            <w:pPr>
              <w:widowControl w:val="1"/>
              <w:numPr>
                <w:ilvl w:val="0"/>
                <w:numId w:val="1"/>
              </w:numPr>
              <w:ind w:left="714" w:hanging="357"/>
              <w:jc w:val="both"/>
              <w:rPr/>
            </w:pPr>
            <w:r w:rsidDel="00000000" w:rsidR="00000000" w:rsidRPr="00000000">
              <w:rPr>
                <w:rtl w:val="0"/>
              </w:rPr>
              <w:t xml:space="preserve">Keller, E., and DeVecchio, D. (2012). </w:t>
            </w:r>
            <w:r w:rsidDel="00000000" w:rsidR="00000000" w:rsidRPr="00000000">
              <w:rPr>
                <w:i w:val="1"/>
                <w:rtl w:val="0"/>
              </w:rPr>
              <w:t xml:space="preserve">Natural Hazards: Earth's Processes as Hazards, Disasters, and Catastrophes</w:t>
            </w:r>
            <w:r w:rsidDel="00000000" w:rsidR="00000000" w:rsidRPr="00000000">
              <w:rPr>
                <w:rtl w:val="0"/>
              </w:rPr>
              <w:t xml:space="preserve"> (3</w:t>
            </w:r>
            <w:r w:rsidDel="00000000" w:rsidR="00000000" w:rsidRPr="00000000">
              <w:rPr>
                <w:vertAlign w:val="superscript"/>
                <w:rtl w:val="0"/>
              </w:rPr>
              <w:t xml:space="preserve">rd</w:t>
            </w:r>
            <w:r w:rsidDel="00000000" w:rsidR="00000000" w:rsidRPr="00000000">
              <w:rPr>
                <w:rtl w:val="0"/>
              </w:rPr>
              <w:t xml:space="preserve"> Edition),Prentice Hall, New Jersey: 553 pp.</w:t>
            </w:r>
          </w:p>
          <w:p w:rsidR="00000000" w:rsidDel="00000000" w:rsidP="00000000" w:rsidRDefault="00000000" w:rsidRPr="00000000" w14:paraId="00000027">
            <w:pPr>
              <w:widowControl w:val="1"/>
              <w:numPr>
                <w:ilvl w:val="0"/>
                <w:numId w:val="1"/>
              </w:numPr>
              <w:ind w:left="714" w:hanging="357"/>
              <w:jc w:val="both"/>
              <w:rPr/>
            </w:pPr>
            <w:r w:rsidDel="00000000" w:rsidR="00000000" w:rsidRPr="00000000">
              <w:rPr>
                <w:rtl w:val="0"/>
              </w:rPr>
              <w:t xml:space="preserve">Wisner, B., Blaikie, P., Cannon, T., Davis, I. (2004). </w:t>
            </w:r>
            <w:r w:rsidDel="00000000" w:rsidR="00000000" w:rsidRPr="00000000">
              <w:rPr>
                <w:i w:val="1"/>
                <w:rtl w:val="0"/>
              </w:rPr>
              <w:t xml:space="preserve">At Risk: Natural Hazards, people's vulnerability and disasters</w:t>
            </w:r>
            <w:r w:rsidDel="00000000" w:rsidR="00000000" w:rsidRPr="00000000">
              <w:rPr>
                <w:rtl w:val="0"/>
              </w:rPr>
              <w:t xml:space="preserve"> (2</w:t>
            </w:r>
            <w:r w:rsidDel="00000000" w:rsidR="00000000" w:rsidRPr="00000000">
              <w:rPr>
                <w:vertAlign w:val="superscript"/>
                <w:rtl w:val="0"/>
              </w:rPr>
              <w:t xml:space="preserve">nd </w:t>
            </w:r>
            <w:r w:rsidDel="00000000" w:rsidR="00000000" w:rsidRPr="00000000">
              <w:rPr>
                <w:rtl w:val="0"/>
              </w:rPr>
              <w:t xml:space="preserve">Edition), Routledge, London: 496 pp.</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Ochoa, G., Hoffman, J. and Tin, T. (2005).</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Climate: The Force That Shape Our World - and the Life on Earth</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Rodale International Ltd., London: 288 pp.</w:t>
            </w:r>
            <w:r w:rsidDel="00000000" w:rsidR="00000000" w:rsidRPr="00000000">
              <w:rPr>
                <w:rtl w:val="0"/>
              </w:rPr>
            </w:r>
          </w:p>
        </w:tc>
      </w:tr>
      <w:tr>
        <w:trPr>
          <w:cantSplit w:val="0"/>
          <w:trHeight w:val="227" w:hRule="atLeast"/>
          <w:tblHeader w:val="0"/>
        </w:trPr>
        <w:tc>
          <w:tcPr/>
          <w:p w:rsidR="00000000" w:rsidDel="00000000" w:rsidP="00000000" w:rsidRDefault="00000000" w:rsidRPr="00000000" w14:paraId="0000002B">
            <w:pPr>
              <w:jc w:val="both"/>
              <w:rPr>
                <w:sz w:val="22"/>
                <w:szCs w:val="22"/>
              </w:rPr>
            </w:pPr>
            <w:r w:rsidDel="00000000" w:rsidR="00000000" w:rsidRPr="00000000">
              <w:rPr>
                <w:sz w:val="22"/>
                <w:szCs w:val="22"/>
                <w:rtl w:val="0"/>
              </w:rPr>
              <w:t xml:space="preserve">Број часова  активне наставе</w:t>
            </w:r>
          </w:p>
        </w:tc>
        <w:tc>
          <w:tcPr/>
          <w:p w:rsidR="00000000" w:rsidDel="00000000" w:rsidP="00000000" w:rsidRDefault="00000000" w:rsidRPr="00000000" w14:paraId="0000002C">
            <w:pPr>
              <w:jc w:val="both"/>
              <w:rPr>
                <w:sz w:val="22"/>
                <w:szCs w:val="22"/>
              </w:rPr>
            </w:pPr>
            <w:r w:rsidDel="00000000" w:rsidR="00000000" w:rsidRPr="00000000">
              <w:rPr>
                <w:sz w:val="22"/>
                <w:szCs w:val="22"/>
                <w:rtl w:val="0"/>
              </w:rPr>
              <w:t xml:space="preserve">Теоријска настава:5(75)</w:t>
            </w:r>
          </w:p>
        </w:tc>
        <w:tc>
          <w:tcPr/>
          <w:p w:rsidR="00000000" w:rsidDel="00000000" w:rsidP="00000000" w:rsidRDefault="00000000" w:rsidRPr="00000000" w14:paraId="0000002D">
            <w:pPr>
              <w:jc w:val="both"/>
              <w:rPr>
                <w:sz w:val="22"/>
                <w:szCs w:val="22"/>
              </w:rPr>
            </w:pPr>
            <w:r w:rsidDel="00000000" w:rsidR="00000000" w:rsidRPr="00000000">
              <w:rPr>
                <w:sz w:val="22"/>
                <w:szCs w:val="22"/>
                <w:rtl w:val="0"/>
              </w:rPr>
              <w:t xml:space="preserve">Практична настава:5(75)</w:t>
            </w:r>
          </w:p>
        </w:tc>
      </w:tr>
      <w:tr>
        <w:trPr>
          <w:cantSplit w:val="0"/>
          <w:trHeight w:val="227" w:hRule="atLeast"/>
          <w:tblHeader w:val="0"/>
        </w:trPr>
        <w:tc>
          <w:tcPr>
            <w:gridSpan w:val="3"/>
          </w:tcPr>
          <w:p w:rsidR="00000000" w:rsidDel="00000000" w:rsidP="00000000" w:rsidRDefault="00000000" w:rsidRPr="00000000" w14:paraId="0000002E">
            <w:pPr>
              <w:jc w:val="both"/>
              <w:rPr>
                <w:b w:val="1"/>
                <w:sz w:val="22"/>
                <w:szCs w:val="22"/>
              </w:rPr>
            </w:pPr>
            <w:r w:rsidDel="00000000" w:rsidR="00000000" w:rsidRPr="00000000">
              <w:rPr>
                <w:b w:val="1"/>
                <w:sz w:val="22"/>
                <w:szCs w:val="22"/>
                <w:rtl w:val="0"/>
              </w:rPr>
              <w:t xml:space="preserve">Методе извођења наставе</w:t>
            </w:r>
          </w:p>
          <w:p w:rsidR="00000000" w:rsidDel="00000000" w:rsidP="00000000" w:rsidRDefault="00000000" w:rsidRPr="00000000" w14:paraId="0000002F">
            <w:pPr>
              <w:jc w:val="both"/>
              <w:rPr>
                <w:sz w:val="22"/>
                <w:szCs w:val="22"/>
              </w:rPr>
            </w:pPr>
            <w:r w:rsidDel="00000000" w:rsidR="00000000" w:rsidRPr="00000000">
              <w:rPr>
                <w:sz w:val="22"/>
                <w:szCs w:val="22"/>
                <w:rtl w:val="0"/>
              </w:rPr>
              <w:t xml:space="preserve">Предавања, индивидуалне консултације, теренски рад</w:t>
            </w:r>
          </w:p>
        </w:tc>
      </w:tr>
      <w:tr>
        <w:trPr>
          <w:cantSplit w:val="0"/>
          <w:trHeight w:val="227" w:hRule="atLeast"/>
          <w:tblHeader w:val="0"/>
        </w:trPr>
        <w:tc>
          <w:tcPr>
            <w:gridSpan w:val="3"/>
          </w:tcPr>
          <w:p w:rsidR="00000000" w:rsidDel="00000000" w:rsidP="00000000" w:rsidRDefault="00000000" w:rsidRPr="00000000" w14:paraId="00000032">
            <w:pPr>
              <w:jc w:val="both"/>
              <w:rPr>
                <w:b w:val="1"/>
                <w:sz w:val="22"/>
                <w:szCs w:val="22"/>
              </w:rPr>
            </w:pPr>
            <w:r w:rsidDel="00000000" w:rsidR="00000000" w:rsidRPr="00000000">
              <w:rPr>
                <w:b w:val="1"/>
                <w:sz w:val="22"/>
                <w:szCs w:val="22"/>
                <w:rtl w:val="0"/>
              </w:rPr>
              <w:t xml:space="preserve">Оцена  знања (максимални број поена 100)</w:t>
            </w:r>
          </w:p>
          <w:p w:rsidR="00000000" w:rsidDel="00000000" w:rsidP="00000000" w:rsidRDefault="00000000" w:rsidRPr="00000000" w14:paraId="00000033">
            <w:pPr>
              <w:jc w:val="both"/>
              <w:rPr>
                <w:sz w:val="22"/>
                <w:szCs w:val="22"/>
              </w:rPr>
            </w:pPr>
            <w:r w:rsidDel="00000000" w:rsidR="00000000" w:rsidRPr="00000000">
              <w:rPr>
                <w:sz w:val="22"/>
                <w:szCs w:val="22"/>
                <w:rtl w:val="0"/>
              </w:rPr>
              <w:t xml:space="preserve">Семинарски рад: 50 поена</w:t>
            </w:r>
          </w:p>
          <w:p w:rsidR="00000000" w:rsidDel="00000000" w:rsidP="00000000" w:rsidRDefault="00000000" w:rsidRPr="00000000" w14:paraId="00000034">
            <w:pPr>
              <w:jc w:val="both"/>
              <w:rPr>
                <w:b w:val="1"/>
                <w:sz w:val="22"/>
                <w:szCs w:val="22"/>
              </w:rPr>
            </w:pPr>
            <w:r w:rsidDel="00000000" w:rsidR="00000000" w:rsidRPr="00000000">
              <w:rPr>
                <w:sz w:val="22"/>
                <w:szCs w:val="22"/>
                <w:rtl w:val="0"/>
              </w:rPr>
              <w:t xml:space="preserve">Усмени испит: 50 поена</w:t>
            </w:r>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sectPr>
      <w:pgSz w:h="15840" w:w="12240" w:orient="portrait"/>
      <w:pgMar w:bottom="851" w:top="113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02" w:hanging="360"/>
      </w:pPr>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about:blank" TargetMode="External"/><Relationship Id="rId7"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