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50.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73"/>
        <w:gridCol w:w="2881"/>
        <w:gridCol w:w="3596"/>
        <w:tblGridChange w:id="0">
          <w:tblGrid>
            <w:gridCol w:w="2873"/>
            <w:gridCol w:w="2881"/>
            <w:gridCol w:w="3596"/>
          </w:tblGrid>
        </w:tblGridChange>
      </w:tblGrid>
      <w:tr>
        <w:trPr>
          <w:cantSplit w:val="0"/>
          <w:trHeight w:val="227" w:hRule="atLeast"/>
          <w:tblHeader w:val="0"/>
        </w:trPr>
        <w:tc>
          <w:tcPr>
            <w:gridSpan w:val="3"/>
          </w:tcPr>
          <w:p w:rsidR="00000000" w:rsidDel="00000000" w:rsidP="00000000" w:rsidRDefault="00000000" w:rsidRPr="00000000" w14:paraId="00000002">
            <w:pPr>
              <w:jc w:val="both"/>
              <w:rPr>
                <w:sz w:val="22"/>
                <w:szCs w:val="22"/>
              </w:rPr>
            </w:pPr>
            <w:r w:rsidDel="00000000" w:rsidR="00000000" w:rsidRPr="00000000">
              <w:rPr>
                <w:b w:val="1"/>
                <w:sz w:val="22"/>
                <w:szCs w:val="22"/>
                <w:rtl w:val="0"/>
              </w:rPr>
              <w:t xml:space="preserve">Назив предмета: Географски аспекти глобалних промена</w:t>
            </w:r>
            <w:r w:rsidDel="00000000" w:rsidR="00000000" w:rsidRPr="00000000">
              <w:rPr>
                <w:rtl w:val="0"/>
              </w:rPr>
            </w:r>
          </w:p>
        </w:tc>
      </w:tr>
      <w:tr>
        <w:trPr>
          <w:cantSplit w:val="0"/>
          <w:trHeight w:val="227" w:hRule="atLeast"/>
          <w:tblHeader w:val="0"/>
        </w:trPr>
        <w:tc>
          <w:tcPr>
            <w:gridSpan w:val="3"/>
          </w:tcPr>
          <w:p w:rsidR="00000000" w:rsidDel="00000000" w:rsidP="00000000" w:rsidRDefault="00000000" w:rsidRPr="00000000" w14:paraId="00000005">
            <w:pPr>
              <w:jc w:val="both"/>
              <w:rPr>
                <w:b w:val="1"/>
                <w:sz w:val="22"/>
                <w:szCs w:val="22"/>
              </w:rPr>
            </w:pPr>
            <w:r w:rsidDel="00000000" w:rsidR="00000000" w:rsidRPr="00000000">
              <w:rPr>
                <w:b w:val="1"/>
                <w:sz w:val="22"/>
                <w:szCs w:val="22"/>
                <w:rtl w:val="0"/>
              </w:rPr>
              <w:t xml:space="preserve">Наставник или наставници: </w:t>
            </w:r>
            <w:hyperlink r:id="rId6">
              <w:r w:rsidDel="00000000" w:rsidR="00000000" w:rsidRPr="00000000">
                <w:rPr>
                  <w:color w:val="0563c1"/>
                  <w:sz w:val="22"/>
                  <w:szCs w:val="22"/>
                  <w:u w:val="single"/>
                  <w:rtl w:val="0"/>
                </w:rPr>
                <w:t xml:space="preserve">Лазар Лазић</w:t>
              </w:r>
            </w:hyperlink>
            <w:r w:rsidDel="00000000" w:rsidR="00000000" w:rsidRPr="00000000">
              <w:rPr>
                <w:sz w:val="22"/>
                <w:szCs w:val="22"/>
                <w:rtl w:val="0"/>
              </w:rPr>
              <w:t xml:space="preserve">, </w:t>
            </w:r>
            <w:hyperlink r:id="rId7">
              <w:r w:rsidDel="00000000" w:rsidR="00000000" w:rsidRPr="00000000">
                <w:rPr>
                  <w:color w:val="0563c1"/>
                  <w:sz w:val="22"/>
                  <w:szCs w:val="22"/>
                  <w:u w:val="single"/>
                  <w:rtl w:val="0"/>
                </w:rPr>
                <w:t xml:space="preserve">Млађен Јовановић</w:t>
              </w:r>
            </w:hyperlink>
            <w:r w:rsidDel="00000000" w:rsidR="00000000" w:rsidRPr="00000000">
              <w:rPr>
                <w:sz w:val="22"/>
                <w:szCs w:val="22"/>
                <w:rtl w:val="0"/>
              </w:rPr>
              <w:t xml:space="preserve">, </w:t>
            </w:r>
            <w:hyperlink r:id="rId8">
              <w:r w:rsidDel="00000000" w:rsidR="00000000" w:rsidRPr="00000000">
                <w:rPr>
                  <w:color w:val="0563c1"/>
                  <w:sz w:val="22"/>
                  <w:szCs w:val="22"/>
                  <w:u w:val="single"/>
                  <w:rtl w:val="0"/>
                </w:rPr>
                <w:t xml:space="preserve">Даниела Арсеновић</w:t>
              </w:r>
            </w:hyperlink>
            <w:r w:rsidDel="00000000" w:rsidR="00000000" w:rsidRPr="00000000">
              <w:rPr>
                <w:rtl w:val="0"/>
              </w:rPr>
            </w:r>
          </w:p>
        </w:tc>
      </w:tr>
      <w:tr>
        <w:trPr>
          <w:cantSplit w:val="0"/>
          <w:trHeight w:val="227" w:hRule="atLeast"/>
          <w:tblHeader w:val="0"/>
        </w:trPr>
        <w:tc>
          <w:tcPr>
            <w:gridSpan w:val="3"/>
          </w:tcPr>
          <w:p w:rsidR="00000000" w:rsidDel="00000000" w:rsidP="00000000" w:rsidRDefault="00000000" w:rsidRPr="00000000" w14:paraId="00000008">
            <w:pPr>
              <w:jc w:val="both"/>
              <w:rPr>
                <w:sz w:val="22"/>
                <w:szCs w:val="22"/>
              </w:rPr>
            </w:pPr>
            <w:r w:rsidDel="00000000" w:rsidR="00000000" w:rsidRPr="00000000">
              <w:rPr>
                <w:b w:val="1"/>
                <w:sz w:val="22"/>
                <w:szCs w:val="22"/>
                <w:rtl w:val="0"/>
              </w:rPr>
              <w:t xml:space="preserve">Статус предмета: </w:t>
            </w:r>
            <w:r w:rsidDel="00000000" w:rsidR="00000000" w:rsidRPr="00000000">
              <w:rPr>
                <w:sz w:val="22"/>
                <w:szCs w:val="22"/>
                <w:rtl w:val="0"/>
              </w:rPr>
              <w:t xml:space="preserve">Изборни</w:t>
            </w:r>
          </w:p>
        </w:tc>
      </w:tr>
      <w:tr>
        <w:trPr>
          <w:cantSplit w:val="0"/>
          <w:trHeight w:val="227" w:hRule="atLeast"/>
          <w:tblHeader w:val="0"/>
        </w:trPr>
        <w:tc>
          <w:tcPr>
            <w:gridSpan w:val="3"/>
          </w:tcPr>
          <w:p w:rsidR="00000000" w:rsidDel="00000000" w:rsidP="00000000" w:rsidRDefault="00000000" w:rsidRPr="00000000" w14:paraId="0000000B">
            <w:pPr>
              <w:jc w:val="both"/>
              <w:rPr>
                <w:sz w:val="22"/>
                <w:szCs w:val="22"/>
              </w:rPr>
            </w:pPr>
            <w:r w:rsidDel="00000000" w:rsidR="00000000" w:rsidRPr="00000000">
              <w:rPr>
                <w:b w:val="1"/>
                <w:sz w:val="22"/>
                <w:szCs w:val="22"/>
                <w:rtl w:val="0"/>
              </w:rPr>
              <w:t xml:space="preserve">Број ЕСПБ: 15</w:t>
            </w:r>
            <w:r w:rsidDel="00000000" w:rsidR="00000000" w:rsidRPr="00000000">
              <w:rPr>
                <w:rtl w:val="0"/>
              </w:rPr>
            </w:r>
          </w:p>
        </w:tc>
      </w:tr>
      <w:tr>
        <w:trPr>
          <w:cantSplit w:val="0"/>
          <w:trHeight w:val="227" w:hRule="atLeast"/>
          <w:tblHeader w:val="0"/>
        </w:trPr>
        <w:tc>
          <w:tcPr>
            <w:gridSpan w:val="3"/>
          </w:tcPr>
          <w:p w:rsidR="00000000" w:rsidDel="00000000" w:rsidP="00000000" w:rsidRDefault="00000000" w:rsidRPr="00000000" w14:paraId="0000000E">
            <w:pPr>
              <w:jc w:val="both"/>
              <w:rPr>
                <w:sz w:val="22"/>
                <w:szCs w:val="22"/>
              </w:rPr>
            </w:pPr>
            <w:r w:rsidDel="00000000" w:rsidR="00000000" w:rsidRPr="00000000">
              <w:rPr>
                <w:b w:val="1"/>
                <w:sz w:val="22"/>
                <w:szCs w:val="22"/>
                <w:rtl w:val="0"/>
              </w:rPr>
              <w:t xml:space="preserve">Услов: нема</w:t>
            </w:r>
            <w:r w:rsidDel="00000000" w:rsidR="00000000" w:rsidRPr="00000000">
              <w:rPr>
                <w:rtl w:val="0"/>
              </w:rPr>
            </w:r>
          </w:p>
        </w:tc>
      </w:tr>
      <w:tr>
        <w:trPr>
          <w:cantSplit w:val="0"/>
          <w:trHeight w:val="227" w:hRule="atLeast"/>
          <w:tblHeader w:val="0"/>
        </w:trPr>
        <w:tc>
          <w:tcPr>
            <w:gridSpan w:val="3"/>
          </w:tcPr>
          <w:p w:rsidR="00000000" w:rsidDel="00000000" w:rsidP="00000000" w:rsidRDefault="00000000" w:rsidRPr="00000000" w14:paraId="00000011">
            <w:pPr>
              <w:jc w:val="both"/>
              <w:rPr>
                <w:b w:val="1"/>
                <w:sz w:val="22"/>
                <w:szCs w:val="22"/>
              </w:rPr>
            </w:pPr>
            <w:r w:rsidDel="00000000" w:rsidR="00000000" w:rsidRPr="00000000">
              <w:rPr>
                <w:b w:val="1"/>
                <w:sz w:val="22"/>
                <w:szCs w:val="22"/>
                <w:rtl w:val="0"/>
              </w:rPr>
              <w:t xml:space="preserve">Циљ предмета</w:t>
            </w:r>
          </w:p>
          <w:p w:rsidR="00000000" w:rsidDel="00000000" w:rsidP="00000000" w:rsidRDefault="00000000" w:rsidRPr="00000000" w14:paraId="00000012">
            <w:pPr>
              <w:jc w:val="both"/>
              <w:rPr>
                <w:b w:val="1"/>
                <w:sz w:val="22"/>
                <w:szCs w:val="22"/>
              </w:rPr>
            </w:pPr>
            <w:r w:rsidDel="00000000" w:rsidR="00000000" w:rsidRPr="00000000">
              <w:rPr>
                <w:sz w:val="22"/>
                <w:szCs w:val="22"/>
                <w:rtl w:val="0"/>
              </w:rPr>
              <w:t xml:space="preserve">Циљ предмета је да докторанди усаврше знања о различитим аспектима утицаја глобалних промена на географски простор и људско друштво.  </w:t>
            </w:r>
            <w:r w:rsidDel="00000000" w:rsidR="00000000" w:rsidRPr="00000000">
              <w:rPr>
                <w:rtl w:val="0"/>
              </w:rPr>
            </w:r>
          </w:p>
        </w:tc>
      </w:tr>
      <w:tr>
        <w:trPr>
          <w:cantSplit w:val="0"/>
          <w:trHeight w:val="227" w:hRule="atLeast"/>
          <w:tblHeader w:val="0"/>
        </w:trPr>
        <w:tc>
          <w:tcPr>
            <w:gridSpan w:val="3"/>
          </w:tcPr>
          <w:p w:rsidR="00000000" w:rsidDel="00000000" w:rsidP="00000000" w:rsidRDefault="00000000" w:rsidRPr="00000000" w14:paraId="00000015">
            <w:pPr>
              <w:jc w:val="both"/>
              <w:rPr>
                <w:b w:val="1"/>
                <w:sz w:val="22"/>
                <w:szCs w:val="22"/>
              </w:rPr>
            </w:pPr>
            <w:r w:rsidDel="00000000" w:rsidR="00000000" w:rsidRPr="00000000">
              <w:rPr>
                <w:b w:val="1"/>
                <w:sz w:val="22"/>
                <w:szCs w:val="22"/>
                <w:rtl w:val="0"/>
              </w:rPr>
              <w:t xml:space="preserve">Исход предмета </w:t>
            </w:r>
          </w:p>
          <w:p w:rsidR="00000000" w:rsidDel="00000000" w:rsidP="00000000" w:rsidRDefault="00000000" w:rsidRPr="00000000" w14:paraId="00000016">
            <w:pPr>
              <w:jc w:val="both"/>
              <w:rPr>
                <w:sz w:val="22"/>
                <w:szCs w:val="22"/>
              </w:rPr>
            </w:pPr>
            <w:bookmarkStart w:colFirst="0" w:colLast="0" w:name="_gjdgxs" w:id="0"/>
            <w:bookmarkEnd w:id="0"/>
            <w:r w:rsidDel="00000000" w:rsidR="00000000" w:rsidRPr="00000000">
              <w:rPr>
                <w:sz w:val="22"/>
                <w:szCs w:val="22"/>
                <w:rtl w:val="0"/>
              </w:rPr>
              <w:t xml:space="preserve">Докторанди ће бити у стању да сагледају и разумеју узроке глобалних промена; деловање глобалних промена на природу, на друштвене категорије и на регионалне структуре, као и на утицај човека на глобалне промене. Биће у стању да развију критичко мишљење, уз способност закључивања и предвиђања могућих дешавања. </w:t>
            </w:r>
          </w:p>
        </w:tc>
      </w:tr>
      <w:tr>
        <w:trPr>
          <w:cantSplit w:val="0"/>
          <w:trHeight w:val="227" w:hRule="atLeast"/>
          <w:tblHeader w:val="0"/>
        </w:trPr>
        <w:tc>
          <w:tcPr>
            <w:gridSpan w:val="3"/>
          </w:tcPr>
          <w:p w:rsidR="00000000" w:rsidDel="00000000" w:rsidP="00000000" w:rsidRDefault="00000000" w:rsidRPr="00000000" w14:paraId="00000019">
            <w:pPr>
              <w:jc w:val="both"/>
              <w:rPr>
                <w:b w:val="1"/>
                <w:sz w:val="22"/>
                <w:szCs w:val="22"/>
              </w:rPr>
            </w:pPr>
            <w:r w:rsidDel="00000000" w:rsidR="00000000" w:rsidRPr="00000000">
              <w:rPr>
                <w:b w:val="1"/>
                <w:sz w:val="22"/>
                <w:szCs w:val="22"/>
                <w:rtl w:val="0"/>
              </w:rPr>
              <w:t xml:space="preserve">Садржај предмета</w:t>
            </w:r>
          </w:p>
          <w:p w:rsidR="00000000" w:rsidDel="00000000" w:rsidP="00000000" w:rsidRDefault="00000000" w:rsidRPr="00000000" w14:paraId="0000001A">
            <w:pPr>
              <w:jc w:val="both"/>
              <w:rPr>
                <w:i w:val="1"/>
                <w:sz w:val="22"/>
                <w:szCs w:val="22"/>
              </w:rPr>
            </w:pPr>
            <w:r w:rsidDel="00000000" w:rsidR="00000000" w:rsidRPr="00000000">
              <w:rPr>
                <w:i w:val="1"/>
                <w:sz w:val="22"/>
                <w:szCs w:val="22"/>
                <w:rtl w:val="0"/>
              </w:rPr>
              <w:t xml:space="preserve">Теоријска настава</w:t>
            </w:r>
          </w:p>
          <w:p w:rsidR="00000000" w:rsidDel="00000000" w:rsidP="00000000" w:rsidRDefault="00000000" w:rsidRPr="00000000" w14:paraId="0000001B">
            <w:pPr>
              <w:jc w:val="both"/>
              <w:rPr>
                <w:sz w:val="22"/>
                <w:szCs w:val="22"/>
              </w:rPr>
            </w:pPr>
            <w:r w:rsidDel="00000000" w:rsidR="00000000" w:rsidRPr="00000000">
              <w:rPr>
                <w:sz w:val="22"/>
                <w:szCs w:val="22"/>
                <w:rtl w:val="0"/>
              </w:rPr>
              <w:t xml:space="preserve">Утврђивање и усвајање нових појмовних категорија о глобалнм променама. Фактори глобалних промена. Геолошки процеси и глобалне промене. Клима и глобалне промене. Глобалне промене и вода. Утицај глобалних промена на биосферу, криосферу, атмосферу и обрадиво земљиште. „Одговор“ природе на глобалне промене. Планетарне промене код светске популације, привреде и економије. Утицај планетарних промена на измену насеобинских структура и на промену физиономије простора.  Различит интензитета глобалних промена по континентима, државама и регијама. Утицај глобалних промена на живот људи. Глобалне промене и будућност. </w:t>
            </w:r>
          </w:p>
          <w:p w:rsidR="00000000" w:rsidDel="00000000" w:rsidP="00000000" w:rsidRDefault="00000000" w:rsidRPr="00000000" w14:paraId="0000001C">
            <w:pPr>
              <w:rPr>
                <w:i w:val="1"/>
                <w:sz w:val="22"/>
                <w:szCs w:val="22"/>
              </w:rPr>
            </w:pPr>
            <w:r w:rsidDel="00000000" w:rsidR="00000000" w:rsidRPr="00000000">
              <w:rPr>
                <w:i w:val="1"/>
                <w:sz w:val="22"/>
                <w:szCs w:val="22"/>
                <w:rtl w:val="0"/>
              </w:rPr>
              <w:t xml:space="preserve">Практична настава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Упознавање са основним алатима који су потребни за савлађивање градива. Студије случаја – анализа примера утицаја глобалних промена на природу и друштво.</w:t>
            </w:r>
          </w:p>
        </w:tc>
      </w:tr>
      <w:tr>
        <w:trPr>
          <w:cantSplit w:val="0"/>
          <w:trHeight w:val="227" w:hRule="atLeast"/>
          <w:tblHeader w:val="0"/>
        </w:trPr>
        <w:tc>
          <w:tcPr>
            <w:gridSpan w:val="3"/>
          </w:tcPr>
          <w:p w:rsidR="00000000" w:rsidDel="00000000" w:rsidP="00000000" w:rsidRDefault="00000000" w:rsidRPr="00000000" w14:paraId="00000020">
            <w:pPr>
              <w:jc w:val="both"/>
              <w:rPr>
                <w:b w:val="1"/>
                <w:sz w:val="22"/>
                <w:szCs w:val="22"/>
              </w:rPr>
            </w:pPr>
            <w:r w:rsidDel="00000000" w:rsidR="00000000" w:rsidRPr="00000000">
              <w:rPr>
                <w:b w:val="1"/>
                <w:sz w:val="22"/>
                <w:szCs w:val="22"/>
                <w:rtl w:val="0"/>
              </w:rPr>
              <w:t xml:space="preserve">Препоручена литература </w:t>
            </w:r>
          </w:p>
          <w:p w:rsidR="00000000" w:rsidDel="00000000" w:rsidP="00000000" w:rsidRDefault="00000000" w:rsidRPr="00000000" w14:paraId="00000021">
            <w:pPr>
              <w:ind w:left="240" w:hanging="270"/>
              <w:rPr>
                <w:sz w:val="22"/>
                <w:szCs w:val="22"/>
              </w:rPr>
            </w:pPr>
            <w:r w:rsidDel="00000000" w:rsidR="00000000" w:rsidRPr="00000000">
              <w:rPr>
                <w:sz w:val="22"/>
                <w:szCs w:val="22"/>
                <w:rtl w:val="0"/>
              </w:rPr>
              <w:t xml:space="preserve">Johnston, R.J. (2002), Geographies of Global Change: Remapping the World. Wiley-Blackwell, 540p.</w:t>
            </w:r>
          </w:p>
          <w:p w:rsidR="00000000" w:rsidDel="00000000" w:rsidP="00000000" w:rsidRDefault="00000000" w:rsidRPr="00000000" w14:paraId="00000022">
            <w:pPr>
              <w:ind w:left="240" w:hanging="270"/>
              <w:rPr>
                <w:sz w:val="22"/>
                <w:szCs w:val="22"/>
              </w:rPr>
            </w:pPr>
            <w:r w:rsidDel="00000000" w:rsidR="00000000" w:rsidRPr="00000000">
              <w:rPr>
                <w:sz w:val="22"/>
                <w:szCs w:val="22"/>
                <w:rtl w:val="0"/>
              </w:rPr>
              <w:t xml:space="preserve">Houghton, J. (2006): Global Warming – The Complete Briefing. Cambridge University Press, Cambridge, UK.</w:t>
            </w:r>
          </w:p>
          <w:p w:rsidR="00000000" w:rsidDel="00000000" w:rsidP="00000000" w:rsidRDefault="00000000" w:rsidRPr="00000000" w14:paraId="00000023">
            <w:pPr>
              <w:ind w:left="240" w:hanging="270"/>
              <w:rPr>
                <w:sz w:val="22"/>
                <w:szCs w:val="22"/>
              </w:rPr>
            </w:pPr>
            <w:r w:rsidDel="00000000" w:rsidR="00000000" w:rsidRPr="00000000">
              <w:rPr>
                <w:sz w:val="22"/>
                <w:szCs w:val="22"/>
                <w:rtl w:val="0"/>
              </w:rPr>
              <w:t xml:space="preserve">Rose, J., - editor (1999), Past Global changes and their significance for the Future, Pergamon, London. </w:t>
            </w:r>
          </w:p>
          <w:p w:rsidR="00000000" w:rsidDel="00000000" w:rsidP="00000000" w:rsidRDefault="00000000" w:rsidRPr="00000000" w14:paraId="00000024">
            <w:pPr>
              <w:ind w:left="240" w:hanging="270"/>
              <w:rPr>
                <w:sz w:val="22"/>
                <w:szCs w:val="22"/>
              </w:rPr>
            </w:pPr>
            <w:r w:rsidDel="00000000" w:rsidR="00000000" w:rsidRPr="00000000">
              <w:rPr>
                <w:sz w:val="22"/>
                <w:szCs w:val="22"/>
                <w:rtl w:val="0"/>
              </w:rPr>
              <w:t xml:space="preserve">Knox, P., Marston, S., (2001), Places and Regions in Global  context, Prentice Hall, Upper Saddle River, New Jersey,</w:t>
            </w:r>
          </w:p>
          <w:p w:rsidR="00000000" w:rsidDel="00000000" w:rsidP="00000000" w:rsidRDefault="00000000" w:rsidRPr="00000000" w14:paraId="00000025">
            <w:pPr>
              <w:ind w:left="240" w:hanging="270"/>
              <w:rPr>
                <w:sz w:val="22"/>
                <w:szCs w:val="22"/>
              </w:rPr>
            </w:pPr>
            <w:r w:rsidDel="00000000" w:rsidR="00000000" w:rsidRPr="00000000">
              <w:rPr>
                <w:sz w:val="22"/>
                <w:szCs w:val="22"/>
                <w:rtl w:val="0"/>
              </w:rPr>
              <w:t xml:space="preserve">Ellis, E. (2011) ‘Anthropogenic transformation of the terrestrial biosphere. Philosophical Transactions of the Royal Society A 369: 1010-35</w:t>
            </w:r>
          </w:p>
          <w:p w:rsidR="00000000" w:rsidDel="00000000" w:rsidP="00000000" w:rsidRDefault="00000000" w:rsidRPr="00000000" w14:paraId="00000026">
            <w:pPr>
              <w:ind w:left="240" w:hanging="270"/>
              <w:rPr>
                <w:sz w:val="22"/>
                <w:szCs w:val="22"/>
              </w:rPr>
            </w:pPr>
            <w:r w:rsidDel="00000000" w:rsidR="00000000" w:rsidRPr="00000000">
              <w:rPr>
                <w:sz w:val="22"/>
                <w:szCs w:val="22"/>
                <w:rtl w:val="0"/>
              </w:rPr>
              <w:t xml:space="preserve">Richardson, K, Steffen W. and Liverman D. eds. (2011) Climate Change: Risks, Challenges, Decisions. Cambridge: Cambridge University Press. 542p</w:t>
            </w:r>
          </w:p>
          <w:p w:rsidR="00000000" w:rsidDel="00000000" w:rsidP="00000000" w:rsidRDefault="00000000" w:rsidRPr="00000000" w14:paraId="00000027">
            <w:pPr>
              <w:ind w:left="240" w:hanging="270"/>
              <w:rPr>
                <w:sz w:val="22"/>
                <w:szCs w:val="22"/>
              </w:rPr>
            </w:pPr>
            <w:r w:rsidDel="00000000" w:rsidR="00000000" w:rsidRPr="00000000">
              <w:rPr>
                <w:sz w:val="22"/>
                <w:szCs w:val="22"/>
                <w:rtl w:val="0"/>
              </w:rPr>
              <w:t xml:space="preserve">Climat-Friendly Cities (2011), Handbook on the Tasks and Possibilities of European Cities in Relation to Climat Change. Issued within the framework of Hungarian Presidency of the Council of the European Union, Ministry of Interior, Budapest.</w:t>
            </w:r>
          </w:p>
          <w:p w:rsidR="00000000" w:rsidDel="00000000" w:rsidP="00000000" w:rsidRDefault="00000000" w:rsidRPr="00000000" w14:paraId="00000028">
            <w:pPr>
              <w:ind w:left="240" w:hanging="270"/>
              <w:rPr>
                <w:sz w:val="22"/>
                <w:szCs w:val="22"/>
              </w:rPr>
            </w:pPr>
            <w:r w:rsidDel="00000000" w:rsidR="00000000" w:rsidRPr="00000000">
              <w:rPr>
                <w:sz w:val="22"/>
                <w:szCs w:val="22"/>
                <w:rtl w:val="0"/>
              </w:rPr>
              <w:t xml:space="preserve">Vuksanović, G. (2014), Guideline on climate change adaptation and risk assessment in the Danube macro-region. National Directorate General for Disaster Management, 108 p</w:t>
            </w:r>
          </w:p>
          <w:p w:rsidR="00000000" w:rsidDel="00000000" w:rsidP="00000000" w:rsidRDefault="00000000" w:rsidRPr="00000000" w14:paraId="00000029">
            <w:pPr>
              <w:ind w:left="240" w:hanging="270"/>
              <w:rPr>
                <w:sz w:val="22"/>
                <w:szCs w:val="22"/>
              </w:rPr>
            </w:pPr>
            <w:r w:rsidDel="00000000" w:rsidR="00000000" w:rsidRPr="00000000">
              <w:rPr>
                <w:sz w:val="22"/>
                <w:szCs w:val="22"/>
                <w:rtl w:val="0"/>
              </w:rPr>
              <w:t xml:space="preserve">Migration, Environment and Climate Change (2009), International Organization for Migration, Geneve. 441p</w:t>
            </w:r>
          </w:p>
          <w:p w:rsidR="00000000" w:rsidDel="00000000" w:rsidP="00000000" w:rsidRDefault="00000000" w:rsidRPr="00000000" w14:paraId="0000002A">
            <w:pPr>
              <w:ind w:left="240" w:hanging="270"/>
              <w:rPr>
                <w:sz w:val="22"/>
                <w:szCs w:val="22"/>
              </w:rPr>
            </w:pPr>
            <w:r w:rsidDel="00000000" w:rsidR="00000000" w:rsidRPr="00000000">
              <w:rPr>
                <w:sz w:val="22"/>
                <w:szCs w:val="22"/>
                <w:rtl w:val="0"/>
              </w:rPr>
              <w:t xml:space="preserve">The Demography of Adaptation to Climate Change (2013), UNFPA, 176 p</w:t>
            </w:r>
          </w:p>
          <w:p w:rsidR="00000000" w:rsidDel="00000000" w:rsidP="00000000" w:rsidRDefault="00000000" w:rsidRPr="00000000" w14:paraId="0000002B">
            <w:pPr>
              <w:ind w:left="240" w:hanging="270"/>
              <w:rPr>
                <w:sz w:val="22"/>
                <w:szCs w:val="22"/>
              </w:rPr>
            </w:pPr>
            <w:r w:rsidDel="00000000" w:rsidR="00000000" w:rsidRPr="00000000">
              <w:rPr>
                <w:sz w:val="22"/>
                <w:szCs w:val="22"/>
                <w:rtl w:val="0"/>
              </w:rPr>
              <w:t xml:space="preserve">Population Dynamics and Climate Change (2009), UNFPA, 238 p.</w:t>
            </w:r>
          </w:p>
        </w:tc>
      </w:tr>
      <w:tr>
        <w:trPr>
          <w:cantSplit w:val="0"/>
          <w:trHeight w:val="227" w:hRule="atLeast"/>
          <w:tblHeader w:val="0"/>
        </w:trPr>
        <w:tc>
          <w:tcPr/>
          <w:p w:rsidR="00000000" w:rsidDel="00000000" w:rsidP="00000000" w:rsidRDefault="00000000" w:rsidRPr="00000000" w14:paraId="0000002E">
            <w:pPr>
              <w:jc w:val="both"/>
              <w:rPr>
                <w:sz w:val="22"/>
                <w:szCs w:val="22"/>
              </w:rPr>
            </w:pPr>
            <w:r w:rsidDel="00000000" w:rsidR="00000000" w:rsidRPr="00000000">
              <w:rPr>
                <w:sz w:val="22"/>
                <w:szCs w:val="22"/>
                <w:rtl w:val="0"/>
              </w:rPr>
              <w:t xml:space="preserve">Број часова  активне наставе</w:t>
            </w:r>
          </w:p>
        </w:tc>
        <w:tc>
          <w:tcPr/>
          <w:p w:rsidR="00000000" w:rsidDel="00000000" w:rsidP="00000000" w:rsidRDefault="00000000" w:rsidRPr="00000000" w14:paraId="0000002F">
            <w:pPr>
              <w:jc w:val="both"/>
              <w:rPr>
                <w:sz w:val="22"/>
                <w:szCs w:val="22"/>
              </w:rPr>
            </w:pPr>
            <w:r w:rsidDel="00000000" w:rsidR="00000000" w:rsidRPr="00000000">
              <w:rPr>
                <w:sz w:val="22"/>
                <w:szCs w:val="22"/>
                <w:rtl w:val="0"/>
              </w:rPr>
              <w:t xml:space="preserve">Теоријска настава: 5 (75)</w:t>
            </w:r>
          </w:p>
        </w:tc>
        <w:tc>
          <w:tcPr/>
          <w:p w:rsidR="00000000" w:rsidDel="00000000" w:rsidP="00000000" w:rsidRDefault="00000000" w:rsidRPr="00000000" w14:paraId="00000030">
            <w:pPr>
              <w:jc w:val="both"/>
              <w:rPr>
                <w:sz w:val="22"/>
                <w:szCs w:val="22"/>
              </w:rPr>
            </w:pPr>
            <w:r w:rsidDel="00000000" w:rsidR="00000000" w:rsidRPr="00000000">
              <w:rPr>
                <w:sz w:val="22"/>
                <w:szCs w:val="22"/>
                <w:rtl w:val="0"/>
              </w:rPr>
              <w:t xml:space="preserve">Практична настава: 5 (75)</w:t>
            </w:r>
          </w:p>
        </w:tc>
      </w:tr>
      <w:tr>
        <w:trPr>
          <w:cantSplit w:val="0"/>
          <w:trHeight w:val="227" w:hRule="atLeast"/>
          <w:tblHeader w:val="0"/>
        </w:trPr>
        <w:tc>
          <w:tcPr>
            <w:gridSpan w:val="3"/>
          </w:tcPr>
          <w:p w:rsidR="00000000" w:rsidDel="00000000" w:rsidP="00000000" w:rsidRDefault="00000000" w:rsidRPr="00000000" w14:paraId="00000031">
            <w:pPr>
              <w:jc w:val="both"/>
              <w:rPr>
                <w:b w:val="1"/>
                <w:sz w:val="22"/>
                <w:szCs w:val="22"/>
              </w:rPr>
            </w:pPr>
            <w:r w:rsidDel="00000000" w:rsidR="00000000" w:rsidRPr="00000000">
              <w:rPr>
                <w:b w:val="1"/>
                <w:sz w:val="22"/>
                <w:szCs w:val="22"/>
                <w:rtl w:val="0"/>
              </w:rPr>
              <w:t xml:space="preserve">Методе извођења наставе</w:t>
            </w:r>
          </w:p>
          <w:p w:rsidR="00000000" w:rsidDel="00000000" w:rsidP="00000000" w:rsidRDefault="00000000" w:rsidRPr="00000000" w14:paraId="00000032">
            <w:pPr>
              <w:jc w:val="both"/>
              <w:rPr>
                <w:sz w:val="22"/>
                <w:szCs w:val="22"/>
              </w:rPr>
            </w:pPr>
            <w:r w:rsidDel="00000000" w:rsidR="00000000" w:rsidRPr="00000000">
              <w:rPr>
                <w:sz w:val="22"/>
                <w:szCs w:val="22"/>
                <w:rtl w:val="0"/>
              </w:rPr>
              <w:t xml:space="preserve">Предавања, индивидуалне консултације, семинарски радови</w:t>
            </w:r>
          </w:p>
        </w:tc>
      </w:tr>
      <w:tr>
        <w:trPr>
          <w:cantSplit w:val="0"/>
          <w:trHeight w:val="227" w:hRule="atLeast"/>
          <w:tblHeader w:val="0"/>
        </w:trPr>
        <w:tc>
          <w:tcPr>
            <w:gridSpan w:val="3"/>
          </w:tcPr>
          <w:p w:rsidR="00000000" w:rsidDel="00000000" w:rsidP="00000000" w:rsidRDefault="00000000" w:rsidRPr="00000000" w14:paraId="00000035">
            <w:pPr>
              <w:jc w:val="both"/>
              <w:rPr>
                <w:b w:val="1"/>
                <w:sz w:val="22"/>
                <w:szCs w:val="22"/>
              </w:rPr>
            </w:pPr>
            <w:r w:rsidDel="00000000" w:rsidR="00000000" w:rsidRPr="00000000">
              <w:rPr>
                <w:b w:val="1"/>
                <w:sz w:val="22"/>
                <w:szCs w:val="22"/>
                <w:rtl w:val="0"/>
              </w:rPr>
              <w:t xml:space="preserve">Оцена  знања (максимални број поена 100)</w:t>
            </w:r>
          </w:p>
          <w:p w:rsidR="00000000" w:rsidDel="00000000" w:rsidP="00000000" w:rsidRDefault="00000000" w:rsidRPr="00000000" w14:paraId="00000036">
            <w:pPr>
              <w:jc w:val="both"/>
              <w:rPr>
                <w:sz w:val="22"/>
                <w:szCs w:val="22"/>
              </w:rPr>
            </w:pPr>
            <w:r w:rsidDel="00000000" w:rsidR="00000000" w:rsidRPr="00000000">
              <w:rPr>
                <w:sz w:val="22"/>
                <w:szCs w:val="22"/>
                <w:rtl w:val="0"/>
              </w:rPr>
              <w:t xml:space="preserve">Семинарски рад     50 поена</w:t>
            </w:r>
          </w:p>
          <w:p w:rsidR="00000000" w:rsidDel="00000000" w:rsidP="00000000" w:rsidRDefault="00000000" w:rsidRPr="00000000" w14:paraId="00000037">
            <w:pPr>
              <w:jc w:val="both"/>
              <w:rPr>
                <w:b w:val="1"/>
                <w:sz w:val="22"/>
                <w:szCs w:val="22"/>
              </w:rPr>
            </w:pPr>
            <w:r w:rsidDel="00000000" w:rsidR="00000000" w:rsidRPr="00000000">
              <w:rPr>
                <w:sz w:val="22"/>
                <w:szCs w:val="22"/>
                <w:rtl w:val="0"/>
              </w:rPr>
              <w:t xml:space="preserve">Усмени испит         50 поена</w:t>
            </w:r>
            <w:r w:rsidDel="00000000" w:rsidR="00000000" w:rsidRPr="00000000">
              <w:rPr>
                <w:rtl w:val="0"/>
              </w:rPr>
            </w:r>
          </w:p>
        </w:tc>
      </w:tr>
    </w:tbl>
    <w:p w:rsidR="00000000" w:rsidDel="00000000" w:rsidP="00000000" w:rsidRDefault="00000000" w:rsidRPr="00000000" w14:paraId="0000003A">
      <w:pPr>
        <w:rPr>
          <w:sz w:val="22"/>
          <w:szCs w:val="22"/>
        </w:rPr>
      </w:pPr>
      <w:r w:rsidDel="00000000" w:rsidR="00000000" w:rsidRPr="00000000">
        <w:rPr>
          <w:rtl w:val="0"/>
        </w:rPr>
      </w:r>
    </w:p>
    <w:sectPr>
      <w:pgSz w:h="15840" w:w="12240" w:orient="portrait"/>
      <w:pgMar w:bottom="1260" w:top="126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sr-Cyrl-C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tandard%209/Tabela%209.6%20Kompetentnost%20nastavnika/Lazar%20Lazic.docx" TargetMode="External"/><Relationship Id="rId7" Type="http://schemas.openxmlformats.org/officeDocument/2006/relationships/hyperlink" Target="http://../../Standard%209/Tabela%209.6%20Kompetentnost%20nastavnika/Mladjen%20Jovanovic.docx" TargetMode="External"/><Relationship Id="rId8" Type="http://schemas.openxmlformats.org/officeDocument/2006/relationships/hyperlink" Target="http://../../Standard%209/Tabela%209.6%20Kompetentnost%20nastavnika/Daniela%20Arsenovic.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