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4"/>
        <w:gridCol w:w="2819"/>
        <w:gridCol w:w="3727"/>
        <w:tblGridChange w:id="0">
          <w:tblGrid>
            <w:gridCol w:w="2804"/>
            <w:gridCol w:w="2819"/>
            <w:gridCol w:w="372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Савремени урбани процеси у градовима у транзицији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Бојан Ђерчан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Основни циљ предмета је да омогући разумевање међузависности друштвено-економске транзиције и урбаног развоја, узевши у обзир културолошке, друштвене и просторне промене и њихове импликације на урбане процесе.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Докторанди ће бити оспособљениа да критички сагледају и анализирају утицај транзиционих процеса на просторне, културолошке и друштвене функције урбане средине. Биће оспособљени да на основу стечених географских сазнања и сазнања о урбаним срединама, управљају и планирају живот у урбанм срединама, да предвиде и трасирају промене у транзиционом урбаном окружењу. Развиће способности за активно учешће у изграђивању одрживог развоја урбаних средина, унапређењу квалитета живота и решавању проблема на нивоу града.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Проблеми глобализације и урбаног развоја; изазови периода транзиције; процеси трансформације градова у транзицији; транзиција од социјалистичког до постсоцијалистичког града; социјална топографија градова у транзицији; културолошке функције града и њихов значај (концепт узбудљивих градова, концепт креативних градова); транзиција као подстицај за унапређење урбане културе; демографски аспект транзионих процеса (концепт Age friendly градова); одрживи урбани развој (концепт паметних и зелених градова); компетитвни идентитет градова; урбани маркетинг, брендирање градова.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Hall, T., Barrett, H. (2012). Urban Geography, Routledge, London.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Knox, P., Pinch, S. (2010). Urban Social Geography, 6th edition, Routledge, London, New York.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Tasleem, S. (2005). Cities in Transition: Transforming the Global Built Environment, Open House Press, Cheshire.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Hamilton, I., Dimitrovska Andrews K., Pichler Milanovic N. (eds.) (2005). Transformation of Cities in Central and Eastern Europe – Towards Globalization, United Nations University Press, Tokyo, New York, Paris.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Czepczynski, M.</w:t>
              <w:tab/>
              <w:t xml:space="preserve">(2008). Cultural Landscapes of Post-Socialist Cities (Re-Materialising Cultural Geography), Ashgate Publishing Company, Burlington.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Andrusz, G., Harloe, M., Szelenyi, I. (Eds.) (1996). Cities After Socialism: Urban and Regional Change and Conflict in Post-Socialist Societies, Blackweel Publishers, Oxford, Cambridge.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Landry, C. (2008). The Creative City – A Toolkit for Urban Innovators, 2nd edition, Earthscan, London, Sterling.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5 (75)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5 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C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0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       50 поена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       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