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8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8"/>
        <w:gridCol w:w="166"/>
        <w:gridCol w:w="1278"/>
        <w:gridCol w:w="110"/>
        <w:gridCol w:w="37"/>
        <w:gridCol w:w="910"/>
        <w:gridCol w:w="951"/>
        <w:gridCol w:w="329"/>
        <w:gridCol w:w="891"/>
        <w:gridCol w:w="838"/>
        <w:gridCol w:w="1634"/>
        <w:gridCol w:w="1853"/>
        <w:gridCol w:w="619"/>
        <w:tblGridChange w:id="0">
          <w:tblGrid>
            <w:gridCol w:w="568"/>
            <w:gridCol w:w="166"/>
            <w:gridCol w:w="1278"/>
            <w:gridCol w:w="110"/>
            <w:gridCol w:w="37"/>
            <w:gridCol w:w="910"/>
            <w:gridCol w:w="951"/>
            <w:gridCol w:w="329"/>
            <w:gridCol w:w="891"/>
            <w:gridCol w:w="838"/>
            <w:gridCol w:w="1634"/>
            <w:gridCol w:w="1853"/>
            <w:gridCol w:w="619"/>
          </w:tblGrid>
        </w:tblGridChange>
      </w:tblGrid>
      <w:tr>
        <w:trPr>
          <w:cantSplit w:val="0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0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Презиме, средње слово, име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Лазић В. Лазар</w:t>
            </w:r>
          </w:p>
        </w:tc>
      </w:tr>
      <w:tr>
        <w:trPr>
          <w:cantSplit w:val="0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0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1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Област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2006.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1996.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blHeader w:val="0"/>
        </w:trPr>
        <w:tc>
          <w:tcPr>
            <w:gridSpan w:val="13"/>
          </w:tcPr>
          <w:p w:rsidR="00000000" w:rsidDel="00000000" w:rsidP="00000000" w:rsidRDefault="00000000" w:rsidRPr="00000000" w14:paraId="0000006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Списак предмета које наставник држи на студијским програмима докторских студија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Ознака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ДГ110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Географија и глобалне промене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ДТ105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9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Одрживи туризам и глобалне промене животне средине</w:t>
            </w:r>
          </w:p>
        </w:tc>
      </w:tr>
      <w:tr>
        <w:trPr>
          <w:cantSplit w:val="0"/>
          <w:tblHeader w:val="0"/>
        </w:trPr>
        <w:tc>
          <w:tcPr>
            <w:gridSpan w:val="13"/>
          </w:tcPr>
          <w:p w:rsidR="00000000" w:rsidDel="00000000" w:rsidP="00000000" w:rsidRDefault="00000000" w:rsidRPr="00000000" w14:paraId="0000009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Košić, K., Pivac, T., Romelić, J., Lazić, L., Stojanović, V. (2011): Characteristics of thermal-mineral waters in Backa region (Vojvodina) and their exploitation in spa tourism,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Renewable and Sustainable Energy Reviews,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doi.org/10.1016/j.rser.2010.09.004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M21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Dolinaj, D., Marković, S., Svirčev, Z., Jovanović, M., Savić, S., Lazić, L., Đorđević, J. (2011): Limnological characteristics, water regime and water quality problems of Borkovac reservoir (Vojvodina, Serbia),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Acta geographica Slovenica,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DOI: 10.3986/AGS51103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M23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Vasiljević, Dj.A., Marković, S.B., Hose, T.A., Smalley, I., Basarin, B., Lazić, L., Jović, G. (2011) The Introduction to Geoconservation of loess-palaeosol sequences in the Vojvodina region: Significant geoheritage of Serbia.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Quaternary International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240/1–2, 108-116. doi:10.1016/j.quaint.2010.07.008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Gavrilov B.M., Lazić,L., Milutinović M., Gavrilov M. M. (2011):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Influence of Hail Suppression on the Hail Trend in Vojvodina, Serbia,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Geographica Pannonica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Vol. 15, Issue 2 (June 2011),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DOI: 10.5937/GeoPan1102036G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M51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Savic, S., Milosevic, D., Lazić, L., Marković, V. (2013): Classifying Urban Meteorological Stations Sites by "Local Climate Zones": Preliminary Results for the City of Novi Sad (Serbia),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Geographica Pannonica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color w:val="000000"/>
                <w:sz w:val="20"/>
                <w:szCs w:val="20"/>
                <w:highlight w:val="white"/>
                <w:rtl w:val="0"/>
              </w:rPr>
              <w:t xml:space="preserve">Vol. 17, Issue 3 (September 2013), DOI: 10.5937/GeoPan1303060S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M51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Basarin, B1., Lazić, L., Lukić T. (2014): Evaluation of bioclimate conditions in two special nature reserves in Vojvodina (Northern Serbia),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Carpathian Journal of Earth and Environmental Sciences,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ISSN: 1842-4090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M23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tabs>
                <w:tab w:val="left" w:leader="none" w:pos="2400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Stojanovic, V., Đorđević, J., Lazić, L., Stamenković, I. (2014): The principles of sustainable development of tourism in the special nature reserve "Gornje Podunavlje" and their impact on the local communities, Acta geographica Slovenica, DOI: 10.3986/AGS54407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M23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tabs>
                <w:tab w:val="left" w:leader="none" w:pos="2400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Micić, T. et al. (2014): Determination of Wind Energy Potential and its Implementation Concept for the Electricity Market in the Vojvodina Region (North Serbia) – An Overview, University of Novi Sad, Faculty of Science, Department of Geography, Tourism and Hotel Management, Trg Dositeja Obradovića 3, 21 000 Novi Sad, Serbia, Geographica Pannonica, DOI: 10.5937/GeoPan1401006M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M51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tabs>
                <w:tab w:val="left" w:leader="none" w:pos="2400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Đorđević, J. (2014): How The Promotion Of A German Cultural Heritage Could Develop A Multicultural Region? Example Of Best Practice: The Danube Swabian’s Family And Legacy House In The Municipality Of Apatin (Province Of Vojvodina, Serbia)), Special Issue on the theme: Cultural heritage as a potential of regional development, The Regions Magazine, The Regional Studies Association – The Global Forum for City and Regional Research, Development and Policy, London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M52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Košić, K.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Demirović, D.,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Pejanović, R.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Lazić, L.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Stamenković I. (2015): Key principles of rural tourism households development strategy: Case study of Vojvodina,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Ekonomika poljoprivrede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DOI: 10.5937/ekoPolj1504975K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M51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tabs>
                <w:tab w:val="left" w:leader="none" w:pos="2400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Savić, S. Milovanović, B., Lužanin, Z., Lazić, L., Dolinaj, D. (2015): The variability of extreme temperatures and their relationship with atmospheric circulation: the contribution of applying linear and quadratic models, Theoretical and Applied Climatology, DOI 10.1007/s00704-014-1263-3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Stojanović, V., Lazić, L., Dunjić, J. (2018): Nature Protection and Sustainable Tourism Interaction in Selected Ramsar Sites in Vojvodina (Northern Serbia),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Geographica Pannonica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Vol. 22, Issue 3 (September 2018),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DOI: 10.5937/gp22-16637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M24</w:t>
            </w:r>
          </w:p>
        </w:tc>
      </w:tr>
      <w:tr>
        <w:trPr>
          <w:cantSplit w:val="0"/>
          <w:tblHeader w:val="0"/>
        </w:trPr>
        <w:tc>
          <w:tcPr>
            <w:gridSpan w:val="13"/>
          </w:tcPr>
          <w:p w:rsidR="00000000" w:rsidDel="00000000" w:rsidP="00000000" w:rsidRDefault="00000000" w:rsidRPr="00000000" w14:paraId="0000014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Збирни подаци научне активности наставника 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1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341 (202) GoogleScholar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1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Universitatea Dimitrie Cantemir, Facultatea de Geografie, Таргу Муреш, Румунија (2019/2020)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gridSpan w:val="13"/>
          </w:tcPr>
          <w:p w:rsidR="00000000" w:rsidDel="00000000" w:rsidP="00000000" w:rsidRDefault="00000000" w:rsidRPr="00000000" w14:paraId="000001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