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"/>
        <w:gridCol w:w="213"/>
        <w:gridCol w:w="1209"/>
        <w:gridCol w:w="667"/>
        <w:gridCol w:w="1149"/>
        <w:gridCol w:w="1779"/>
        <w:gridCol w:w="326"/>
        <w:gridCol w:w="1035"/>
        <w:gridCol w:w="164"/>
        <w:gridCol w:w="1257"/>
        <w:gridCol w:w="657"/>
        <w:tblGridChange w:id="0">
          <w:tblGrid>
            <w:gridCol w:w="563"/>
            <w:gridCol w:w="213"/>
            <w:gridCol w:w="1209"/>
            <w:gridCol w:w="667"/>
            <w:gridCol w:w="1149"/>
            <w:gridCol w:w="1779"/>
            <w:gridCol w:w="326"/>
            <w:gridCol w:w="1035"/>
            <w:gridCol w:w="164"/>
            <w:gridCol w:w="1257"/>
            <w:gridCol w:w="657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Драган Д. Милошевић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Област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2019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2018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2012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2011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5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7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Geletič, J., Lehnert, M., Savić, S.,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2019. Inter-/intra-zonal seasonal variability of the Surface Urban Heat Island based on Local Climate Zones in three Central European Cities. Building and Environment, 156: 21-32. doi:10.1016/j.buildenv.2019.04.011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after="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Geletič, J., Lehnert, M., Savić, S.,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2018. Modelled spatiotemporal variability of outdoor thermal comfort in local climate zones of the city of Brno, Czech Republic. Science of the Total Environment, 624: 385-395. doi:10.1016/j.scitotenv.2017.12.076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spacing w:after="60" w:lineRule="auto"/>
              <w:rPr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Bajšanski, I., Savić, S. 2017. Influence of changing trees locations on thermal comfort on street parking lot and footways. Urban Forestry and Urban Greening, 23: 113-124. http://dx.doi.org/10.1016/j.ufug.2017.03.011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after="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Bajšanski, I.,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Savić, S. 2015. Evaluation and improvement of outdoor thermal comfort in urban areas on extreme temperature days: Applications of automatic algorithms. Building and Environment, 94: 632-643. doi:10.1016/j.buildenv.2015.10.019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after="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Šećerov, I., Savić, S.,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Arsenović, D., Dolinaj, D., Popov, S. 2019. Progressing urban climate research using a high-density monitoring network system. Environmental Monitoring and Assessment, 191: 89 article. https://doi.org/10.1007/s10661-019-7210-0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after="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Savić, S., Marković, V., Šećerov, I., Pavić, D., Arsenović, D.,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Dolinaj, D., Nagy, I., Pantelić, I. 2018. Heat wave risk assessment and mapping in urban areas: case study for a midsized Central European city, Novi Sad (Serbia). Natural Hazards, 91, 3: 891-911. doi:10.1007/s11069-017-3160-4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after="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Savić, S., Selakov, A.,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2014. Cold and warm air temperature spells during the winter and summer seasons and their impact on energy consumption in urban areas. Natural Hazards, 73, 2: 373-387. doi:10.1007/s11069-014-1074-y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after="60" w:lineRule="auto"/>
              <w:rPr>
                <w:b w:val="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spacing w:after="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Savić, S., Stankov, U., Žiberna, I., Pantelić, M., Dolinaj, D., Leščešen, I.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2017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Maximum temperatures over Slovenia and their relationship with atmospheric circulation patterns. Geografie, 122(1): 1-20.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after="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spacing w:after="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Savić, S., Pantelić, M., Stankov, U., Žiberna, I., Dolinaj, D., Leščesen, I. 2016. Variability of seasonal and annual precipitation in Slovenia and its correlation with large-scale atmospheric circulation. Open Geosciences (Central European Journal of Geosciences), 8: 593-605.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spacing w:after="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after="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after="6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Milošević, D.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Savić, S., Stojanović, V., Popov-Raljić, J. 2015. Effects of precipitation and temperatures on crop yield variability in Vojvodina (Serbia). Italian Journal of Agrometeorology, 3/2015: 35-44.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spacing w:after="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  <w:t xml:space="preserve">Домаћи: 1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Међународни: 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20">
            <w:pPr>
              <w:rPr>
                <w:color w:val="333333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333333"/>
                <w:sz w:val="18"/>
                <w:szCs w:val="18"/>
                <w:highlight w:val="white"/>
                <w:rtl w:val="0"/>
              </w:rPr>
              <w:t xml:space="preserve">Усавршавања:</w:t>
            </w:r>
          </w:p>
          <w:p w:rsidR="00000000" w:rsidDel="00000000" w:rsidP="00000000" w:rsidRDefault="00000000" w:rsidRPr="00000000" w14:paraId="00000121">
            <w:pPr>
              <w:rPr>
                <w:color w:val="333333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333333"/>
                <w:sz w:val="18"/>
                <w:szCs w:val="18"/>
                <w:highlight w:val="white"/>
                <w:rtl w:val="0"/>
              </w:rPr>
              <w:t xml:space="preserve">Универзитет у Дебрецину, Департман за физичку географију и геоинформатику (Мађарска) (Новембар 2016)</w:t>
            </w:r>
          </w:p>
          <w:p w:rsidR="00000000" w:rsidDel="00000000" w:rsidP="00000000" w:rsidRDefault="00000000" w:rsidRPr="00000000" w14:paraId="00000122">
            <w:pPr>
              <w:rPr>
                <w:color w:val="333333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333333"/>
                <w:sz w:val="18"/>
                <w:szCs w:val="18"/>
                <w:highlight w:val="white"/>
                <w:rtl w:val="0"/>
              </w:rPr>
              <w:t xml:space="preserve">Унивезитет Палацки у Оломоуцу, Природно-математички факултет, Департман за географију (Чешка) (Октобар 2017, јун 2018)</w:t>
            </w:r>
          </w:p>
          <w:p w:rsidR="00000000" w:rsidDel="00000000" w:rsidP="00000000" w:rsidRDefault="00000000" w:rsidRPr="00000000" w14:paraId="00000123">
            <w:pPr>
              <w:rPr>
                <w:color w:val="333333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333333"/>
                <w:sz w:val="18"/>
                <w:szCs w:val="18"/>
                <w:highlight w:val="white"/>
                <w:rtl w:val="0"/>
              </w:rPr>
              <w:t xml:space="preserve">Универзитет у Авеиру, Департман за друштвене, политичке и територијалне науке (Португалија) (Октобар 2018)</w:t>
            </w:r>
          </w:p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color w:val="333333"/>
                <w:sz w:val="18"/>
                <w:szCs w:val="18"/>
                <w:highlight w:val="white"/>
                <w:rtl w:val="0"/>
              </w:rPr>
              <w:t xml:space="preserve">Католички универзитет у Лилу, Департман за механичко и цивилно инжењерство (Француска) (Септембар 2018, Септембар 2020)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