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jc w:val="center"/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3"/>
        <w:gridCol w:w="340"/>
        <w:gridCol w:w="995"/>
        <w:gridCol w:w="210"/>
        <w:gridCol w:w="659"/>
        <w:gridCol w:w="1146"/>
        <w:gridCol w:w="1693"/>
        <w:gridCol w:w="230"/>
        <w:gridCol w:w="1141"/>
        <w:gridCol w:w="228"/>
        <w:gridCol w:w="1297"/>
        <w:gridCol w:w="637"/>
        <w:tblGridChange w:id="0">
          <w:tblGrid>
            <w:gridCol w:w="443"/>
            <w:gridCol w:w="340"/>
            <w:gridCol w:w="995"/>
            <w:gridCol w:w="210"/>
            <w:gridCol w:w="659"/>
            <w:gridCol w:w="1146"/>
            <w:gridCol w:w="1693"/>
            <w:gridCol w:w="230"/>
            <w:gridCol w:w="1141"/>
            <w:gridCol w:w="228"/>
            <w:gridCol w:w="1297"/>
            <w:gridCol w:w="637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Драгослав Павић 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2016.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2006.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2002.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1998.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6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ДГ101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Глобалне климатске промене и водопривреда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ДТ121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  <w:t xml:space="preserve">Геотуризам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9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у складу са захтевима допунских услова  стандарда за дато поље</w:t>
            </w:r>
            <w:r w:rsidDel="00000000" w:rsidR="00000000" w:rsidRPr="00000000">
              <w:rPr>
                <w:b w:val="1"/>
                <w:rtl w:val="0"/>
              </w:rPr>
              <w:t xml:space="preserve"> (минимално 10 не више од 20)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Bezdan, J., Bezdan, A., Blagojević, B., Mesaroš M., Pejić, B., Vranešević, M.,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Nikolić-Đorić, E. 2019. SPEI-based approach to agricultural drought monitoring in Vojvodina region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Water,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11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(7), 1481. doi.org/10.3390/w11071481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Lukić, T, Lukić, A., Basarin, B., Micić Ponjiger, T., Blagojević, D., Mesaroš, M., Milanović, M., Gavrilov, M.,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Zorn, M., Komac, B., Miljković, Đ., Sakulski, D. Babić-Kekez, S., Morar, C., and Janićević S. 2019. Rainfall erosivity and extreme precipitation in the Pannonian basin,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Open Geosciences, 11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664–681.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Basarin, B., Lukić, T., Mesaroš, M.,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Đorđević, J., Matzarakis, A. 2018. Spatial and temporal analysis of extreme bioclimate conditions in Vojvodina, Northern Serbia.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International Journal of Climatology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38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(1), 142–157.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Lukić, T., Basarin, B., Micić, T., Bjelajac, D., Maris, T., Marković, S.B.,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Gavrilov, Mesaroš, M. 2018. Rainfall erosivity and extreme precipitation in the Netherlands.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Idojaras, 122(4),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409–432.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Savić, S., Marković, V., Šećerov, I.,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Arsenović, D., Milošević, D., Dolinaj, D., Nagy, I., Pantelić, M. 2018. Heat wave risk assessment and mapping in urban areas: Case study for a mid- sized Central European city, Novi Sad (Serbia).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Natural Hazards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91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891–911. https://doi.org/10.1007/s11069-017-3160-4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1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Lukić, T., Marić, P., Hrnjak, I., Gavrilov, M.B., Mladjan, D., Zorn, M., Komac, B., Milošević, Z., Marković, S.B., Sakulski, D., Jordaan, A., Đorđević, J.,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Stojsavljević, R. 2017. Forest fire analysis and classification based on a Serbian case study.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Acta Geographica Slovenica, 57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(1), 51–63.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Basarin, B., Lukić, T.,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Wilby, R.L. 2016. Trends and multy-annual variability of water temperatures in the river Danube, Serbia.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Hydrological Processes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30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(18), 3315–3329. DOI: 10.1002/hyp.10863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M21a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Jakovljević, D., Krajić, A. 2016. Local Reactions Concerning Serbia's Obedska Bara Nature Reserve.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Polish Journal of Environmental Studies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25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(1), 273–282.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Petrović, M.,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Marković, S., Mészáros, M., Jovičić, A. 2016. Comparison and Estimation of the Values in Wetland Areas: a Study of Ramsar Sites Obedska Bara (Serbia) and Lonjsko Polje (Croatia).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Carpathian Journal of Earth and Environmental Sciences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11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(2), 367–380.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widowControl w:val="1"/>
              <w:jc w:val="both"/>
              <w:rPr>
                <w:sz w:val="16"/>
                <w:szCs w:val="16"/>
                <w:u w:val="singl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Dragićević, S., Mészáros, M.,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Djurdjić, S.,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Novković, I., and Tošić, R. 2013. Vulnerability of National Parks to Natural Hazards in the Serbian Danube region.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Polish Journal of Environmental Studies, 22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(4), 1053–1060.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Jovanovic, T., Dragin, A., Armenski, T.,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Pavic,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and Davidovic, N. 2013. </w:t>
            </w:r>
            <w:bookmarkStart w:colFirst="0" w:colLast="0" w:name="gjdgxs" w:id="0"/>
            <w:bookmarkEnd w:id="0"/>
            <w:r w:rsidDel="00000000" w:rsidR="00000000" w:rsidRPr="00000000">
              <w:rPr>
                <w:sz w:val="16"/>
                <w:szCs w:val="16"/>
                <w:rtl w:val="0"/>
              </w:rPr>
              <w:t xml:space="preserve">What Demotivates the Tourist? Constraining Factors of Nautical Tourism. </w:t>
            </w:r>
            <w:bookmarkStart w:colFirst="0" w:colLast="0" w:name="30j0zll" w:id="1"/>
            <w:bookmarkEnd w:id="1"/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Journal of Travel and Tourism Marketing, 30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(8), 858–872.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widowControl w:val="1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Prokić, M., Savić, S.,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2019. Pluvial flooding in Urban Areas Across the European Continent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Geographica Pannonica, 23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(4), 216–232.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widowControl w:val="1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Srdanović, M., </w:t>
            </w: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2015. Tourists' attitudes on tourism offer in North-western part of Montenegro.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Journal of the Geographical Institute “Jovan Cvijić” SASA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65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(2): 201–214.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widowControl w:val="1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u w:val="single"/>
                <w:rtl w:val="0"/>
              </w:rPr>
              <w:t xml:space="preserve">Pavić, D.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Mesaroš, M., Stojanović, V. 2012. Dewatering melioration measures as a factor of geographic landscape transformation of the Danube and Tisa alluvial planes in Bačka.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Collection of Papers – Faculty of Geography at University of Belgrade, 60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145–154.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5E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  <w:t xml:space="preserve">130 (125) (Scopus)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76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7E">
            <w:pPr>
              <w:rPr/>
            </w:pPr>
            <w:r w:rsidDel="00000000" w:rsidR="00000000" w:rsidRPr="00000000">
              <w:rPr>
                <w:rtl w:val="0"/>
              </w:rPr>
              <w:t xml:space="preserve">Домаћи 1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80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2">
            <w:pPr>
              <w:rPr/>
            </w:pPr>
            <w:r w:rsidDel="00000000" w:rsidR="00000000" w:rsidRPr="00000000">
              <w:rPr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85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Универзитет у Сегедину, Природно-математички и информатички факултет, Департман за геоинформатику, физичку географију и геоекологију, Р. Мађарска (2012, 2013, 2018, 2019).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8E">
            <w:pPr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8F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Учешће на 17 научних и осталих домаћих и међународних пројеката, укључујући и </w:t>
            </w:r>
            <w:r w:rsidDel="00000000" w:rsidR="00000000" w:rsidRPr="00000000">
              <w:rPr>
                <w:color w:val="222222"/>
                <w:sz w:val="16"/>
                <w:szCs w:val="16"/>
                <w:highlight w:val="white"/>
                <w:rtl w:val="0"/>
              </w:rPr>
              <w:t xml:space="preserve">Horizon 2020 | WIDESPREAD-05-2020 - Twinning (CSA) 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ExtremeClimTwin</w:t>
            </w:r>
            <w:r w:rsidDel="00000000" w:rsidR="00000000" w:rsidRPr="00000000">
              <w:rPr>
                <w:color w:val="000000"/>
                <w:sz w:val="16"/>
                <w:szCs w:val="16"/>
                <w:highlight w:val="white"/>
                <w:rtl w:val="0"/>
              </w:rPr>
              <w:t xml:space="preserve"> - 952384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; предавач на основним, мастер (2007-2013) и докторским студијама (од 2018) на Природно-математичком факултету Универзитета у Тузли (БиХ).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