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6"/>
        <w:gridCol w:w="321"/>
        <w:gridCol w:w="1210"/>
        <w:gridCol w:w="662"/>
        <w:gridCol w:w="1151"/>
        <w:gridCol w:w="1779"/>
        <w:gridCol w:w="321"/>
        <w:gridCol w:w="1200"/>
        <w:gridCol w:w="67"/>
        <w:gridCol w:w="1273"/>
        <w:gridCol w:w="579"/>
        <w:tblGridChange w:id="0">
          <w:tblGrid>
            <w:gridCol w:w="456"/>
            <w:gridCol w:w="321"/>
            <w:gridCol w:w="1210"/>
            <w:gridCol w:w="662"/>
            <w:gridCol w:w="1151"/>
            <w:gridCol w:w="1779"/>
            <w:gridCol w:w="321"/>
            <w:gridCol w:w="1200"/>
            <w:gridCol w:w="67"/>
            <w:gridCol w:w="1273"/>
            <w:gridCol w:w="579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Име и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Тамара Б. Лукић (рођ. Ковачевић)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Ужа научна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Година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2013.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2008.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Регионална гео.</w:t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2005.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Регионална гео.</w:t>
            </w:r>
          </w:p>
        </w:tc>
      </w:tr>
      <w:tr>
        <w:trPr>
          <w:cantSplit w:val="0"/>
          <w:trHeight w:val="89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Мастер 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2000.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Физичка гео.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6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Списак предмета које наставник држи на докторским студијама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Ознака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Назив предмета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Регионални развој Југоисточне Европе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8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Најзначајнији радови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у складу са захтевима допунских услова  стандарда за дато поље 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gridSpan w:val="9"/>
            <w:shd w:fill="ffffff" w:val="clear"/>
            <w:vAlign w:val="center"/>
          </w:tcPr>
          <w:p w:rsidR="00000000" w:rsidDel="00000000" w:rsidP="00000000" w:rsidRDefault="00000000" w:rsidRPr="00000000" w14:paraId="00000092">
            <w:pPr>
              <w:jc w:val="both"/>
              <w:rPr>
                <w:color w:val="222222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color w:val="222222"/>
                <w:sz w:val="18"/>
                <w:szCs w:val="18"/>
                <w:highlight w:val="white"/>
                <w:rtl w:val="0"/>
              </w:rPr>
              <w:t xml:space="preserve">Lukić, T, Dunjić, Ј, Đerčan, B,  Solarević, M, Božić, S.  (2019): </w:t>
            </w: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Population situation and trends in Baltic countries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color w:val="222222"/>
                <w:sz w:val="18"/>
                <w:szCs w:val="18"/>
                <w:highlight w:val="white"/>
                <w:rtl w:val="0"/>
              </w:rPr>
              <w:t xml:space="preserve">Zbornik radova - Geografski fakultet Univerziteta u Beogradu, 67-1:5-14. </w:t>
            </w: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doi: 10.5937/zrgfub1901005L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eISSN:</w:t>
            </w:r>
            <w:r w:rsidDel="00000000" w:rsidR="00000000" w:rsidRPr="00000000">
              <w:rPr>
                <w:color w:val="222222"/>
                <w:sz w:val="18"/>
                <w:szCs w:val="18"/>
                <w:highlight w:val="white"/>
                <w:rtl w:val="0"/>
              </w:rPr>
              <w:t xml:space="preserve"> 2334-9441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M52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2.</w:t>
            </w:r>
          </w:p>
        </w:tc>
        <w:tc>
          <w:tcPr>
            <w:gridSpan w:val="9"/>
            <w:shd w:fill="ffffff" w:val="clear"/>
            <w:vAlign w:val="center"/>
          </w:tcPr>
          <w:p w:rsidR="00000000" w:rsidDel="00000000" w:rsidP="00000000" w:rsidRDefault="00000000" w:rsidRPr="00000000" w14:paraId="0000009D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Lukić, </w:t>
            </w:r>
            <w:hyperlink r:id="rId6">
              <w:r w:rsidDel="00000000" w:rsidR="00000000" w:rsidRPr="00000000">
                <w:rPr>
                  <w:sz w:val="18"/>
                  <w:szCs w:val="18"/>
                  <w:rtl w:val="0"/>
                </w:rPr>
                <w:t xml:space="preserve">T,</w:t>
              </w:r>
            </w:hyperlink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 </w:t>
            </w:r>
            <w:hyperlink r:id="rId7">
              <w:r w:rsidDel="00000000" w:rsidR="00000000" w:rsidRPr="00000000">
                <w:rPr>
                  <w:sz w:val="18"/>
                  <w:szCs w:val="18"/>
                  <w:rtl w:val="0"/>
                </w:rPr>
                <w:t xml:space="preserve">Dunjić</w:t>
              </w:r>
            </w:hyperlink>
            <w:r w:rsidDel="00000000" w:rsidR="00000000" w:rsidRPr="00000000">
              <w:rPr>
                <w:sz w:val="18"/>
                <w:szCs w:val="18"/>
                <w:rtl w:val="0"/>
              </w:rPr>
              <w:t xml:space="preserve">, Ј, </w:t>
            </w:r>
            <w:hyperlink r:id="rId8">
              <w:r w:rsidDel="00000000" w:rsidR="00000000" w:rsidRPr="00000000">
                <w:rPr>
                  <w:sz w:val="18"/>
                  <w:szCs w:val="18"/>
                  <w:rtl w:val="0"/>
                </w:rPr>
                <w:t xml:space="preserve"> Đerčan</w:t>
              </w:r>
            </w:hyperlink>
            <w:r w:rsidDel="00000000" w:rsidR="00000000" w:rsidRPr="00000000">
              <w:rPr>
                <w:sz w:val="18"/>
                <w:szCs w:val="18"/>
                <w:rtl w:val="0"/>
              </w:rPr>
              <w:t xml:space="preserve">, B, </w:t>
            </w:r>
            <w:hyperlink r:id="rId9">
              <w:r w:rsidDel="00000000" w:rsidR="00000000" w:rsidRPr="00000000">
                <w:rPr>
                  <w:sz w:val="18"/>
                  <w:szCs w:val="18"/>
                  <w:rtl w:val="0"/>
                </w:rPr>
                <w:t xml:space="preserve"> Penjišević</w:t>
              </w:r>
            </w:hyperlink>
            <w:r w:rsidDel="00000000" w:rsidR="00000000" w:rsidRPr="00000000">
              <w:rPr>
                <w:sz w:val="18"/>
                <w:szCs w:val="18"/>
                <w:rtl w:val="0"/>
              </w:rPr>
              <w:t xml:space="preserve">, I, </w:t>
            </w:r>
            <w:hyperlink r:id="rId10">
              <w:r w:rsidDel="00000000" w:rsidR="00000000" w:rsidRPr="00000000">
                <w:rPr>
                  <w:sz w:val="18"/>
                  <w:szCs w:val="18"/>
                  <w:rtl w:val="0"/>
                </w:rPr>
                <w:t xml:space="preserve">Milosavljević</w:t>
              </w:r>
            </w:hyperlink>
            <w:r w:rsidDel="00000000" w:rsidR="00000000" w:rsidRPr="00000000">
              <w:rPr>
                <w:sz w:val="18"/>
                <w:szCs w:val="18"/>
                <w:rtl w:val="0"/>
              </w:rPr>
              <w:t xml:space="preserve">, S, </w:t>
            </w:r>
            <w:hyperlink r:id="rId11">
              <w:r w:rsidDel="00000000" w:rsidR="00000000" w:rsidRPr="00000000">
                <w:rPr>
                  <w:sz w:val="18"/>
                  <w:szCs w:val="18"/>
                  <w:rtl w:val="0"/>
                </w:rPr>
                <w:t xml:space="preserve"> Bubalo-Živković</w:t>
              </w:r>
            </w:hyperlink>
            <w:r w:rsidDel="00000000" w:rsidR="00000000" w:rsidRPr="00000000">
              <w:rPr>
                <w:sz w:val="18"/>
                <w:szCs w:val="18"/>
                <w:rtl w:val="0"/>
              </w:rPr>
              <w:t xml:space="preserve">, M, </w:t>
            </w:r>
            <w:hyperlink r:id="rId12">
              <w:r w:rsidDel="00000000" w:rsidR="00000000" w:rsidRPr="00000000">
                <w:rPr>
                  <w:sz w:val="18"/>
                  <w:szCs w:val="18"/>
                  <w:rtl w:val="0"/>
                </w:rPr>
                <w:t xml:space="preserve"> Solarević</w:t>
              </w:r>
            </w:hyperlink>
            <w:r w:rsidDel="00000000" w:rsidR="00000000" w:rsidRPr="00000000">
              <w:rPr>
                <w:sz w:val="18"/>
                <w:szCs w:val="18"/>
                <w:rtl w:val="0"/>
              </w:rPr>
              <w:t xml:space="preserve">, M. (2018): Local Resilience to Natural Hazards in Serbia. Case Study: The West Morava River Valley, </w:t>
            </w:r>
            <w:r w:rsidDel="00000000" w:rsidR="00000000" w:rsidRPr="00000000">
              <w:rPr>
                <w:i w:val="0"/>
                <w:sz w:val="18"/>
                <w:szCs w:val="18"/>
                <w:highlight w:val="white"/>
                <w:rtl w:val="0"/>
              </w:rPr>
              <w:t xml:space="preserve">Sustainability</w:t>
            </w:r>
            <w:r w:rsidDel="00000000" w:rsidR="00000000" w:rsidRPr="00000000">
              <w:rPr>
                <w:i w:val="1"/>
                <w:sz w:val="18"/>
                <w:szCs w:val="18"/>
                <w:highlight w:val="white"/>
                <w:rtl w:val="0"/>
              </w:rPr>
              <w:t xml:space="preserve"> </w:t>
            </w: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2018, </w:t>
            </w:r>
            <w:r w:rsidDel="00000000" w:rsidR="00000000" w:rsidRPr="00000000">
              <w:rPr>
                <w:i w:val="0"/>
                <w:sz w:val="18"/>
                <w:szCs w:val="18"/>
                <w:highlight w:val="white"/>
                <w:rtl w:val="0"/>
              </w:rPr>
              <w:t xml:space="preserve">10</w:t>
            </w: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(8), 2866; https://doi.org/10.3390/su10082866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3.</w:t>
            </w:r>
          </w:p>
        </w:tc>
        <w:tc>
          <w:tcPr>
            <w:gridSpan w:val="9"/>
            <w:shd w:fill="ffffff" w:val="clear"/>
            <w:vAlign w:val="center"/>
          </w:tcPr>
          <w:p w:rsidR="00000000" w:rsidDel="00000000" w:rsidP="00000000" w:rsidRDefault="00000000" w:rsidRPr="00000000" w14:paraId="000000A8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Lukic, T, Bubalo Zivkovic,  M,  Djercan, B, Solarevic, M,  Kalenjuk, B. (2017): Ethnic Groups of the Vojvodina Region (Serbia): Contribution to Knowledge About the Characteristics of Cohabitation, Anthropologist 30(1): 37-51, DOI: 10.1080/09720073.2017.1357232, ISSN </w:t>
            </w:r>
            <w:r w:rsidDel="00000000" w:rsidR="00000000" w:rsidRPr="00000000">
              <w:rPr>
                <w:color w:val="333333"/>
                <w:sz w:val="18"/>
                <w:szCs w:val="18"/>
                <w:rtl w:val="0"/>
              </w:rPr>
              <w:t xml:space="preserve">2456-6802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4.</w:t>
            </w:r>
          </w:p>
        </w:tc>
        <w:tc>
          <w:tcPr>
            <w:gridSpan w:val="9"/>
            <w:shd w:fill="ffffff" w:val="clear"/>
            <w:vAlign w:val="center"/>
          </w:tcPr>
          <w:p w:rsidR="00000000" w:rsidDel="00000000" w:rsidP="00000000" w:rsidRDefault="00000000" w:rsidRPr="00000000" w14:paraId="000000B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color w:val="222222"/>
                <w:sz w:val="18"/>
                <w:szCs w:val="18"/>
                <w:rtl w:val="0"/>
              </w:rPr>
              <w:t xml:space="preserve">Stojanović, T, Penjišević, I, Lukić, T, Živković, J. (2017):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Computer literacy of young people in Serbia and regional differences, Geographica Pannonica, 43(3):43-53, </w:t>
            </w:r>
            <w:r w:rsidDel="00000000" w:rsidR="00000000" w:rsidRPr="00000000">
              <w:rPr>
                <w:color w:val="1a1a18"/>
                <w:sz w:val="18"/>
                <w:szCs w:val="18"/>
                <w:rtl w:val="0"/>
              </w:rPr>
              <w:t xml:space="preserve">DOI: 10.18421/GP21.01-04, ISSN 0354-8724 (hard copy)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Бубало-Живковић, М, Лукић, T. (2015): Млади у Србији почетком 21. века, Републички завод за статистику, Београд, стр. 275 ИСБН: 314.114-053.6(497.11)"20" 978-86-6161-146-9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M42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Lukić, T, Penjišević, I, Đerčan, B, Đurđev, B, Bubalo Živković, M, Armenski, T. (2014): Politics in the Balkan countryside: case study in Serbia, Eastern European Countryside, 20: 99-124, DOI: 10.2478/eec-2014-0005, ISSN: 1232-8855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Lukić, T, Bubalo-Živković, M,  Đerčan, B, Jovanović, G. (2014): </w:t>
            </w: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Population Growth in the Border Villages of Srem, Serbia, Acta geographica Slovenica, 54-1:51-65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DOI: 10.3986/AGS54103, UDK: 911.373:314.116(497.11), ISSN:1581-8314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Лукић, Т, Ћурчић, Н. (2014): Ethno-demographic Situation of the Population in Kosovo and Metohija in the Beginning of the 20th Century, Историја и географија: сусрети и прожимања, Институт за новију историју Србије, Бр. 11, Географски институт "Јован Цвијић" САНУ Београд, Институт за славистку РАН, p. 281-298. UDK 314.1(497.115)”1900/...”(083.41)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M14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Lukić, T, Stojsavljević, R, Đurđev, B, Nađ, I, Đerčan, B. (2012): Depopulation in the Western Balkan Countries, European Journal of Geography 3(2): 6-23, Association of European Geographers, UK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M51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Ковачевић Тамара (2010): Гоч и подгорина (Goc and Its Foothill), монографија, УНС, ПМФ, ДГТХ, Нови Сад, стр. 1-370, ISBN: 978-86-7031-204-3.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M42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F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Збирни подаци научне активност наставника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0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Укупан број цитата, без аутоцитата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1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101 (39) (Scopus)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1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Укупан број радова са SCI (или SSCI) листе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1C">
            <w:pPr>
              <w:rPr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18"/>
                <w:szCs w:val="18"/>
                <w:rtl w:val="0"/>
              </w:rPr>
              <w:t xml:space="preserve">10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2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Тренутно учешће на пројектима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Домаћи -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2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Међународни -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2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Усавршавања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3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Студијски боравци на Универзитетима у Анжеу, Бордоу и Нанту (Француска), Кастелион де ла Плана (Шпанија).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3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41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mdpi.com/search?authors=Milka%20Bubalo-%C5%BDivkovi%C4%87&amp;orcid=" TargetMode="External"/><Relationship Id="rId10" Type="http://schemas.openxmlformats.org/officeDocument/2006/relationships/hyperlink" Target="https://www.mdpi.com/search?authors=Sa%C5%A1a%20Milosavljevi%C4%87&amp;orcid=" TargetMode="External"/><Relationship Id="rId12" Type="http://schemas.openxmlformats.org/officeDocument/2006/relationships/hyperlink" Target="https://www.mdpi.com/search?authors=Milica%20Solarevi%C4%87&amp;orcid=" TargetMode="External"/><Relationship Id="rId9" Type="http://schemas.openxmlformats.org/officeDocument/2006/relationships/hyperlink" Target="https://www.mdpi.com/search?authors=Ivana%20Penji%C5%A1evi%C4%87&amp;orcid=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mdpi.com/search?authors=Tamara%20Luki%C4%87&amp;orcid=" TargetMode="External"/><Relationship Id="rId7" Type="http://schemas.openxmlformats.org/officeDocument/2006/relationships/hyperlink" Target="https://www.mdpi.com/search?authors=Jelena%20Dunji%C4%87&amp;orcid=" TargetMode="External"/><Relationship Id="rId8" Type="http://schemas.openxmlformats.org/officeDocument/2006/relationships/hyperlink" Target="https://www.mdpi.com/search?authors=Bojan%20%C4%90er%C4%8Dan&amp;orcid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