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8.999999999998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37"/>
        <w:gridCol w:w="240"/>
        <w:gridCol w:w="1207"/>
        <w:gridCol w:w="667"/>
        <w:gridCol w:w="1149"/>
        <w:gridCol w:w="245"/>
        <w:gridCol w:w="1533"/>
        <w:gridCol w:w="1524"/>
        <w:gridCol w:w="61"/>
        <w:gridCol w:w="1203"/>
        <w:gridCol w:w="653"/>
        <w:tblGridChange w:id="0">
          <w:tblGrid>
            <w:gridCol w:w="537"/>
            <w:gridCol w:w="240"/>
            <w:gridCol w:w="1207"/>
            <w:gridCol w:w="667"/>
            <w:gridCol w:w="1149"/>
            <w:gridCol w:w="245"/>
            <w:gridCol w:w="1533"/>
            <w:gridCol w:w="1524"/>
            <w:gridCol w:w="61"/>
            <w:gridCol w:w="1203"/>
            <w:gridCol w:w="653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Млађен М. Јовановић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Ужа научна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Година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Ужа научна односно уметничка област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2018.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ind w:left="-93" w:firstLine="0"/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2012.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ind w:left="-93" w:firstLine="0"/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2005.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ind w:left="-93" w:firstLine="0"/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Мастер 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ind w:left="-93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2000.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ind w:left="-93" w:firstLine="0"/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6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Списак предмета које наставник држи на докторским студијама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Ознака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  <w:t xml:space="preserve">ДГ105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Климатске и еколошке промене током квартара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8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Најзначајнији радови </w:t>
            </w:r>
            <w:r w:rsidDel="00000000" w:rsidR="00000000" w:rsidRPr="00000000">
              <w:rPr>
                <w:b w:val="1"/>
                <w:rtl w:val="0"/>
              </w:rPr>
              <w:t xml:space="preserve"> у складу са захтевима допунских услова  стандарда за дато поље (минимално 10 не више од 20)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Gocke, M., Gulyas, S., Hambach, U., 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Jovanović, M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., Kovacs, G.G. Marković, S., Wiesenberg, G.L.B. 2014. Biopores and root features as new tools for improving paleoecological understanding of terrestrial sediment-paleosol sequences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.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Palaeogeography Palaeoclimatology Palaeoecology 394:42–58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rPr/>
            </w:pPr>
            <w:r w:rsidDel="00000000" w:rsidR="00000000" w:rsidRPr="00000000">
              <w:rPr>
                <w:rtl w:val="0"/>
              </w:rPr>
              <w:t xml:space="preserve">М21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Marković, S.B. Bokhorst, M, Vandenberghe, J., Oches, E.A., Zöller, L., McCoy, W.D., Gaudenyi, T.,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Jovanović, M.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Hambach, U., Machalett, B. 2008. Late Pleistocene loess-paleosol sequences in the Vojvodina region, North Serbia. Journal of Quaternary Science 23, 73-84.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rtl w:val="0"/>
              </w:rPr>
              <w:t xml:space="preserve">М21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Marković, S. B. Hambach, U., Catto, N.,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Jovanović, M.,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Buggle, B., Machalett, B., Zöller, L., Glaser, B. Frechen, M. 2009. The middle and late Pleistocene loess-paleosol sequences at Batajanica, Vojvodina, Serbia. 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Quaternary International 198, 255-266.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  <w:t xml:space="preserve">М22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Marković, S.B., Hambach, U,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Jovanović, M.,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Stevens, T., O’Hara-Dhand, K., Basarin, B., Smalley. I.J., Buggle, B., Zech, M., Svirčev, Z., Milojković, N., Zöller, L. 2012. Loess in Vojvodina region (Northern Serbia): the missing link between European and Asian Pleistocene environments. Netherlands Journal of Geosciences 91, 173-188.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  <w:t xml:space="preserve">М23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Marković, S.B., Timar-Gabor, A., Stevens, T., Hambach, U., Popov, D., Tomić, N., Obreht, I.,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Jovanović, M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., Lehmkuhl, F., Kels, H., Marković, R., Gavrilov, M.B. 2014. Environmental dynamics and luminescence chronology from the Orlovat loess-palaeosol sequence (Vojvodina, Northern Serbia). Journal of Quaternary Science 29, 189-199.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rPr/>
            </w:pPr>
            <w:r w:rsidDel="00000000" w:rsidR="00000000" w:rsidRPr="00000000">
              <w:rPr>
                <w:rtl w:val="0"/>
              </w:rPr>
              <w:t xml:space="preserve">М21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8">
            <w:pPr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Marković, S.B., Korać, M., Mrđić, N., Buylaert, J.P., Thiel, C., McLaren, S.J., Stevens, T., Tomić, N., Petić, N.,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Jovanović, M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.,Vasiljević, Dj.A., Sümegi, P., Gavrilov, M.B., Obreht, I. 2014. Palaeoenvironment and geoconservation of mammoths from the Nosak loess–palaeosol sequence (Drmno, northeastern Serbia): Initial results and perspectives. Quaternery International 334-335, 30-39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rPr/>
            </w:pPr>
            <w:r w:rsidDel="00000000" w:rsidR="00000000" w:rsidRPr="00000000">
              <w:rPr>
                <w:rtl w:val="0"/>
              </w:rPr>
              <w:t xml:space="preserve">М22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3">
            <w:pPr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widowControl w:val="1"/>
              <w:spacing w:before="6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Popov, D., Marković, S.B.,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Jovanović, M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., Mesaroš, M., Arsenović, D., Stankov, U., Gubik, D. 2011. Geomorphological Investigations and GIS Approach of the Tamiš Loess Plateau, Banat Region (Northern Serbia). Geographica Pannonica, 16, 1, 1-9.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rPr/>
            </w:pPr>
            <w:r w:rsidDel="00000000" w:rsidR="00000000" w:rsidRPr="00000000">
              <w:rPr>
                <w:rtl w:val="0"/>
              </w:rPr>
              <w:t xml:space="preserve">М24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rPr/>
            </w:pPr>
            <w:r w:rsidDel="00000000" w:rsidR="00000000" w:rsidRPr="00000000">
              <w:rPr>
                <w:rtl w:val="0"/>
              </w:rPr>
              <w:t xml:space="preserve">8.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rPr/>
            </w:pPr>
            <w:r w:rsidDel="00000000" w:rsidR="00000000" w:rsidRPr="00000000">
              <w:rPr>
                <w:color w:val="252525"/>
                <w:sz w:val="16"/>
                <w:szCs w:val="16"/>
                <w:rtl w:val="0"/>
              </w:rPr>
              <w:t xml:space="preserve">Ћурчић, С., </w:t>
            </w:r>
            <w:r w:rsidDel="00000000" w:rsidR="00000000" w:rsidRPr="00000000">
              <w:rPr>
                <w:b w:val="1"/>
                <w:color w:val="252525"/>
                <w:sz w:val="16"/>
                <w:szCs w:val="16"/>
                <w:rtl w:val="0"/>
              </w:rPr>
              <w:t xml:space="preserve">Јовановић, М</w:t>
            </w:r>
            <w:r w:rsidDel="00000000" w:rsidR="00000000" w:rsidRPr="00000000">
              <w:rPr>
                <w:color w:val="252525"/>
                <w:sz w:val="16"/>
                <w:szCs w:val="16"/>
                <w:rtl w:val="0"/>
              </w:rPr>
              <w:t xml:space="preserve">. 2012-2014. Атлас насеља Војводине: Срем, Банат I-II. Матица српска, 1-692, 1-601, 1-545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rPr/>
            </w:pPr>
            <w:r w:rsidDel="00000000" w:rsidR="00000000" w:rsidRPr="00000000">
              <w:rPr>
                <w:rtl w:val="0"/>
              </w:rPr>
              <w:t xml:space="preserve">М41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9">
            <w:pPr>
              <w:rPr/>
            </w:pPr>
            <w:r w:rsidDel="00000000" w:rsidR="00000000" w:rsidRPr="00000000">
              <w:rPr>
                <w:rtl w:val="0"/>
              </w:rPr>
              <w:t xml:space="preserve">9.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Vujacic, D., Barovic, G., Djekovic, V., Andjelkovic, A., Khaledi Darvishan, A., Gholami, L.,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Jovanovic, M.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and Spalevic, V. (2017): Calculation of Sediment Yield using the “River Basin” and “Surface and Distance” Models: A Case Study of the Sheremetski Potok Watershed, Montenegro. Journal of Environmental Protection and Ecology, 18(3): 1193-1202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rPr/>
            </w:pPr>
            <w:r w:rsidDel="00000000" w:rsidR="00000000" w:rsidRPr="00000000">
              <w:rPr>
                <w:rtl w:val="0"/>
              </w:rPr>
              <w:t xml:space="preserve">М23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4">
            <w:pPr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rPr/>
            </w:pPr>
            <w:r w:rsidDel="00000000" w:rsidR="00000000" w:rsidRPr="00000000">
              <w:rPr>
                <w:rtl w:val="0"/>
              </w:rPr>
              <w:t xml:space="preserve">Jovanović M, Gaudenyi T, O'Hara-Dhand K, Smalley I. 2014. Karl Caesar von Leonhard (1779 -1862), and the beginnings of loess research in the Rhine valley. Quatenary Intenational 334-335, 4-9.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rPr/>
            </w:pPr>
            <w:r w:rsidDel="00000000" w:rsidR="00000000" w:rsidRPr="00000000">
              <w:rPr>
                <w:rtl w:val="0"/>
              </w:rPr>
              <w:t xml:space="preserve">М22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FF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Збирни подаци научне активност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0A">
            <w:pPr>
              <w:rPr/>
            </w:pPr>
            <w:r w:rsidDel="00000000" w:rsidR="00000000" w:rsidRPr="00000000">
              <w:rPr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10">
            <w:pPr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838 (505) (Scopus)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15">
            <w:pPr>
              <w:rPr/>
            </w:pPr>
            <w:r w:rsidDel="00000000" w:rsidR="00000000" w:rsidRPr="00000000">
              <w:rPr>
                <w:rtl w:val="0"/>
              </w:rPr>
              <w:t xml:space="preserve">Укупан број радова са SCI (или SSCI) листе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1B">
            <w:pPr>
              <w:rPr/>
            </w:pPr>
            <w:r w:rsidDel="00000000" w:rsidR="00000000" w:rsidRPr="00000000">
              <w:rPr>
                <w:rtl w:val="0"/>
              </w:rPr>
              <w:t xml:space="preserve">27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20">
            <w:pPr>
              <w:rPr/>
            </w:pPr>
            <w:r w:rsidDel="00000000" w:rsidR="00000000" w:rsidRPr="00000000">
              <w:rPr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26">
            <w:pPr>
              <w:rPr/>
            </w:pPr>
            <w:r w:rsidDel="00000000" w:rsidR="00000000" w:rsidRPr="00000000">
              <w:rPr>
                <w:rtl w:val="0"/>
              </w:rPr>
              <w:t xml:space="preserve">Домаћи 2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28">
            <w:pPr>
              <w:rPr/>
            </w:pPr>
            <w:r w:rsidDel="00000000" w:rsidR="00000000" w:rsidRPr="00000000">
              <w:rPr>
                <w:rtl w:val="0"/>
              </w:rPr>
              <w:t xml:space="preserve">Међународни -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2B">
            <w:pPr>
              <w:rPr/>
            </w:pPr>
            <w:r w:rsidDel="00000000" w:rsidR="00000000" w:rsidRPr="00000000">
              <w:rPr>
                <w:rtl w:val="0"/>
              </w:rPr>
              <w:t xml:space="preserve">Усавршавања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3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Хумболтова стипендија јуниор-сениор програм, Универзитет у Бајројту, Немачка (2006-2007), Стипендија BAYHOST, Универзитет у Бајројту, Немачка (2004), стипендија CEEPUS, Универзитет у Бечу (2002), Еразмус+, наставно особље: Оломоуц (2017, 2018)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36">
            <w:pPr>
              <w:rPr/>
            </w:pPr>
            <w:r w:rsidDel="00000000" w:rsidR="00000000" w:rsidRPr="00000000">
              <w:rPr>
                <w:rtl w:val="0"/>
              </w:rPr>
              <w:t xml:space="preserve">Други подаци које сматрате релевантним</w:t>
              <w:br w:type="textWrapping"/>
              <w:t xml:space="preserve">Члан одбора за Природне науке Матице српске, председник Комисије за квартар Српског геолошког друштва (2011-2016)</w:t>
            </w:r>
          </w:p>
        </w:tc>
      </w:tr>
    </w:tbl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