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5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0"/>
        <w:gridCol w:w="1411"/>
        <w:gridCol w:w="817"/>
        <w:gridCol w:w="819"/>
        <w:gridCol w:w="584"/>
        <w:gridCol w:w="1381"/>
        <w:gridCol w:w="922"/>
        <w:gridCol w:w="155"/>
        <w:gridCol w:w="1975"/>
        <w:gridCol w:w="621"/>
        <w:tblGridChange w:id="0">
          <w:tblGrid>
            <w:gridCol w:w="560"/>
            <w:gridCol w:w="1411"/>
            <w:gridCol w:w="817"/>
            <w:gridCol w:w="819"/>
            <w:gridCol w:w="584"/>
            <w:gridCol w:w="1381"/>
            <w:gridCol w:w="922"/>
            <w:gridCol w:w="155"/>
            <w:gridCol w:w="1975"/>
            <w:gridCol w:w="621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Име и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Минучер Месарош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Ужа научна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Година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Ужа научна односно уметничка област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2019.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ПМФ, УНС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2013.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Универзитет у Сегедину, Мађарска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Геоинформатика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2001.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ПМФ, УНС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4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Списак предмета које наставник држи на докторским студијама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Ознака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5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Назив предмета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ДРГ108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5E">
            <w:pPr>
              <w:rPr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18"/>
                <w:szCs w:val="18"/>
                <w:rtl w:val="0"/>
              </w:rPr>
              <w:t xml:space="preserve">Планирање и уређење географског простора у индустријализованим земљама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6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Најзначајнији радови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spacing w:after="6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Novović O., Brdar S.,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Mesaroš M.,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Crnojević V., N. Papadopoulos A. (2020): Uncovering the Relationship between Human Connectivity Dynamics and Land Use.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ISPRS International Journal of Geo Information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. 2020, 9, 140. doi: 10.3390/ijgi9030140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spacing w:after="6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spacing w:after="6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Bezdan J., Bezdan A., Blagojević B.,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Mesaroš M.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Pejić B., Vranešević M., Pavić D., Nikolić-Đorić E.(2019): SPEI-Based Approach to Agricultural Drought Monitoring in Vojvodina Region.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Water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2019, 11, 1481.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3">
            <w:pPr>
              <w:spacing w:after="6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3.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Basarin B., Lukić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Mesaroš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 Pavić D., Đorđević J., Matzarakis A. (2018): Spatial and temporal analysis of extreme bioclimate conditions in Vojvodina, Northern Serbia,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International Journal of Climatology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 Vol 38, Issue 1, 142-157. doi:10.1002/joc.5166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D">
            <w:pPr>
              <w:spacing w:after="6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4.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Manakos I., Tomaszewska M., Gkinis I., Brovkina O., Filchev L., Genc L., Gitas I.Z., Halabuk A., Inalpulat M., Irimescu A., Jelev G., Karantzalos K., Katagis T., Kupková L., Lavreniuk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Mesaroš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 Mihailescu D., Nita M., Rusnak T., Stych P., Zemek F., Albrechtová J., Campbell P. (2018): Comparison of Global and Continental Land Cover Products for Selected Study Areas in South Central and Eastern European Region,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Remote Sensing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 10, 1967, doi:10.3390/rs10121967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7">
            <w:pPr>
              <w:spacing w:after="6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Krmar M., Radnović D., Hansman 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Mesaroš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 Betsou C., Jakšić T., Vasić P. (2018): Spatial distribution of 7Be and 137Cs measured with the use of biomonitors,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Journal of Radioanalytical and Nuclear Chemistry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 Volume 318, 3, 1845-1854. doi:10.1007/s10967-018-6121-9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1">
            <w:pPr>
              <w:spacing w:after="6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6.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Krašić, D., Groner, E.,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Mészáros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 Nikolić T., Radišić D., Milić S., Kebert M., Milić, D., Vujić A., Galić Z (2018): Riverine wood-pasture responds to grazing decline,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Ecological Research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 Vol 33, Issue 1, 213-223. doi: 10.1007/s11284-017-1540-6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B">
            <w:pPr>
              <w:spacing w:after="6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7.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Lukić T., Basarin B., Micić T., Bjelajac D., Maris T., Marković S.B., Pavić D., Gavrilov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Mesaroš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(2018): Rainfall erosivity and extreme precipitation in the Netherlands,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Időjárás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 Vol 122, No 4, 409-432. DOI:10.28974/idojaras.2018.4.4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spacing w:after="6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M23</w:t>
            </w:r>
          </w:p>
        </w:tc>
      </w:tr>
      <w:tr>
        <w:trPr>
          <w:cantSplit w:val="0"/>
          <w:trHeight w:val="35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spacing w:after="6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Dragićević S.,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Mészáros M.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Djurdjić S., Pavić D., Novković I., &amp; Tošić R. (2013): Vulnerability of National Parks to Natural Hazards in the Serbian Danube Region. Polish journal of environmental studies, 22(4).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F">
            <w:pPr>
              <w:spacing w:after="6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spacing w:after="6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Popov D., Marković S. B., Jovanović M.,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Mesaroš, M.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Arsenović D., Stankov U., &amp; Gubik D. (2012): Geomorphological investigations and GIS approach of the Tamiš loess plateau, Banat region (Northern Serbia). Geographica Pannonica, 16(1), 1-9.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9">
            <w:pPr>
              <w:spacing w:after="6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M24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spacing w:after="6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Mesaroš M.,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Pavić D., &amp; Seferović S. (2007). Monitoring mass movements and natural hazard in the northern parts of Srem loess plateau in Serbia. Geographica Pannonica, (11), 9-13.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spacing w:after="6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M24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D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Збирни подаци научне активност наставника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D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Укупан број цитата, без аутоцитата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E2">
            <w:pPr>
              <w:spacing w:after="6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140 (Google scholar)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E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Укупан број радова са SCI (или SSCI) листе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EC">
            <w:pPr>
              <w:spacing w:after="6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9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F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F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Домаћи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F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Међународни 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FC">
            <w:pPr>
              <w:widowControl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Други подаци које сматрате релевантним -</w:t>
            </w:r>
          </w:p>
        </w:tc>
      </w:tr>
    </w:tbl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hu-H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