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4"/>
        <w:gridCol w:w="1889"/>
        <w:gridCol w:w="1200"/>
        <w:gridCol w:w="411"/>
        <w:gridCol w:w="294"/>
        <w:gridCol w:w="1111"/>
        <w:gridCol w:w="740"/>
        <w:gridCol w:w="837"/>
        <w:gridCol w:w="566"/>
        <w:gridCol w:w="864"/>
        <w:gridCol w:w="563"/>
        <w:tblGridChange w:id="0">
          <w:tblGrid>
            <w:gridCol w:w="544"/>
            <w:gridCol w:w="1889"/>
            <w:gridCol w:w="1200"/>
            <w:gridCol w:w="411"/>
            <w:gridCol w:w="294"/>
            <w:gridCol w:w="1111"/>
            <w:gridCol w:w="740"/>
            <w:gridCol w:w="837"/>
            <w:gridCol w:w="566"/>
            <w:gridCol w:w="864"/>
            <w:gridCol w:w="563"/>
          </w:tblGrid>
        </w:tblGridChange>
      </w:tblGrid>
      <w:tr>
        <w:trPr>
          <w:cantSplit w:val="0"/>
          <w:trHeight w:val="26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2">
            <w:pPr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5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Млађен М. Јовановић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D">
            <w:pPr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8">
            <w:pPr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научна, уметничка односно стручна 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B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3">
            <w:pPr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6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Ужа научна, уметничка односно стручна област 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2018.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4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2012.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C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F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2005.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7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2000.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D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Списак дисертација-докторских уметничких пројеката а у којима је наставник ментор или је био ментор у претходних 10 година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Р.Б.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1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Наслов дисертације- докторског уметничког пројекта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Име кандидата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*пријављена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** одбрањена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C">
            <w:pPr>
              <w:spacing w:after="60" w:lineRule="auto"/>
              <w:ind w:right="-26"/>
              <w:rPr/>
            </w:pPr>
            <w:r w:rsidDel="00000000" w:rsidR="00000000" w:rsidRPr="00000000">
              <w:rPr>
                <w:rtl w:val="0"/>
              </w:rPr>
              <w:t xml:space="preserve">Прорачун интензитета ерозије земљ-ишта у Полимљу (Црна Гора и Србија) и Шириндарех сливу (Иран) кори-шћењем </w:t>
            </w:r>
            <w:r w:rsidDel="00000000" w:rsidR="00000000" w:rsidRPr="00000000">
              <w:rPr>
                <w:i w:val="1"/>
                <w:rtl w:val="0"/>
              </w:rPr>
              <w:t xml:space="preserve">WIntErO</w:t>
            </w:r>
            <w:r w:rsidDel="00000000" w:rsidR="00000000" w:rsidRPr="00000000">
              <w:rPr>
                <w:rtl w:val="0"/>
              </w:rPr>
              <w:t xml:space="preserve"> модела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Душан Вујачић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2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2019.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7">
            <w:pPr>
              <w:spacing w:after="60" w:lineRule="auto"/>
              <w:ind w:right="-26"/>
              <w:rPr/>
            </w:pPr>
            <w:r w:rsidDel="00000000" w:rsidR="00000000" w:rsidRPr="00000000">
              <w:rPr>
                <w:rtl w:val="0"/>
              </w:rPr>
              <w:t xml:space="preserve">Геоморфолошко и хидролошко геонаслеђе Хомоља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B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Ђурђа Миљковић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D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2018.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91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Категоризација публикације научних радова  из области датог студијског програма  према класификацији ресорног Министарства просвете, науке и технолошког развоја  а у складу са допунским захтевевима  стандарда за дато поље (минимално 5 не више од 20)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9D">
            <w:pPr>
              <w:spacing w:after="60" w:lineRule="auto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Gocke, M., Gulyas, S., Hambach, U.,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Kovacs, G.G. Marković, S., Wiesenberg, G.L.B. 2014. Biopores and root features as new tools for improving paleoecological understanding of terrestrial sediment-paleosol sequences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Palaeogeography Palaeoclimatology Palaeoecology 394:42–58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A8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color w:val="252525"/>
                <w:sz w:val="16"/>
                <w:szCs w:val="16"/>
                <w:rtl w:val="0"/>
              </w:rPr>
              <w:t xml:space="preserve">Gaudenyi T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Nenadić D,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Jovanović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Bogićević K. 2014. The stratigraphical position and the use of the term Eopleistocene in Serbian geological literature. Quatenary Intenational, 319, 150-159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B3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Timar-Gabor, A., Stevens, T., Hambach, U., Popov, D., Tomić, N., Obreht, I.,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Lehmkuhl, F., Kels, H., Marković, R., Gavrilov, M.B. 2014. Environmental dynamics and luminescence chronology from the Orlovat loess-palaeosol sequence (Vojvodina, Northern Serbia). Journal of Quaternary Science 29, 189-199.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BE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Korać, M., Mrđić, N., Buylaert, J.P., Thiel, C., McLaren, S.J., Stevens, T., Tomić, N., Petić, N.,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.,Vasiljević, Dj.A., Sümegi, P., Gavrilov, M.B., Obreht, I. 2014. Palaeoenvironment and geoconservation of mammoths from the Nosak loess–palaeosol sequence (Drmno, northeastern Serbia): Initial results and perspectives. Quaternery International 334-335, 30-39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C9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Jovanović M, Gaudenyi T, O'Hara-Dhand K, Smalley I. 2014. Karl Caesar von Leonhard (1779 -1862), and the beginnings of loess research in the Rhine valley. Quatenary Intenational 334-335, 4-9.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4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Gaudenyi, T., Nenadić, D., Stejić, P.,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Bogićević, K. 2015. The stratigraphy of the Serbian Corbicula beds. Quatenary Intenational 357, 4-21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F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Vujacic, D., Barovic, G., Djekovic, V., Andjelkovic, A., Khaledi Darvishan, A., Gholami, L.,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Jovanovic,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and Spalevic, V. 2017. Calculation of Sediment Yield using the “River Basin” and “Surface and Distance” Models: A Case Study of the Sheremetski Potok Watershed, Montenegro. Journal of Environmental Protection and Ecology, 18(3): 1193-1202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A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Miljković, Đ., Božić, S., Miljković, Lj., Marković, S., Lukić, T., Jovanović, M., Bjelajac, D., Vasiljević, Đ., Vujičić, M., Ristanović, B. 2018. Geosite Assessment using three different methods; a Comparative study of the Krupaja and the Žagubica Springs – Hydrological Heritage of Serbia.. Open Geosciences 10: 192-208.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60" w:lineRule="auto"/>
              <w:rPr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4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F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уметничке  активност наставника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0A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0E">
            <w:pPr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838 (505) Scopus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15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19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20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24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Домаћи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Међународни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2B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Усавршавања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2F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Хумболтова стипендија јуниор-сениор програм, Универзитет у Бајројту, Немачка (2006-2007), Стипендија BAYHOST, Универзитет у Бајројту, Немачка (2004), стипендија CEEPUS, Универзитет у Бечу (2002), Еразмус+, наставно особље: Оломоуц (2017, 2018)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36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3A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Члан одбора за Природне науке Матице српске, председник Комисије за квартар Српског геолошког друштва (2011-2016)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81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